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C84C2" w14:textId="77777777" w:rsidR="008A66B2" w:rsidRDefault="008A66B2" w:rsidP="008A66B2">
      <w:pPr>
        <w:jc w:val="center"/>
        <w:rPr>
          <w:b/>
          <w:bCs/>
          <w:color w:val="005EB8"/>
          <w:sz w:val="28"/>
          <w:szCs w:val="28"/>
        </w:rPr>
      </w:pPr>
    </w:p>
    <w:p w14:paraId="4F81520F" w14:textId="0884AB4E" w:rsidR="00B72132" w:rsidRPr="008A66B2" w:rsidRDefault="008A66B2" w:rsidP="008A66B2">
      <w:pPr>
        <w:jc w:val="center"/>
        <w:rPr>
          <w:b/>
          <w:bCs/>
          <w:color w:val="005EB8"/>
          <w:sz w:val="28"/>
          <w:szCs w:val="28"/>
        </w:rPr>
        <w:sectPr w:rsidR="00B72132" w:rsidRPr="008A66B2" w:rsidSect="00C177B2">
          <w:headerReference w:type="default" r:id="rId11"/>
          <w:headerReference w:type="first" r:id="rId12"/>
          <w:footerReference w:type="first" r:id="rId13"/>
          <w:pgSz w:w="11906" w:h="16838"/>
          <w:pgMar w:top="2268" w:right="1021" w:bottom="1021" w:left="1021" w:header="454" w:footer="556" w:gutter="0"/>
          <w:cols w:space="708"/>
          <w:titlePg/>
          <w:docGrid w:linePitch="360"/>
        </w:sectPr>
      </w:pPr>
      <w:r w:rsidRPr="008A66B2">
        <w:rPr>
          <w:b/>
          <w:bCs/>
          <w:color w:val="005EB8"/>
          <w:sz w:val="28"/>
          <w:szCs w:val="28"/>
        </w:rPr>
        <w:t>Medical Education Standards &amp; Guidance for Learning Organisations</w:t>
      </w:r>
    </w:p>
    <w:p w14:paraId="121ED1F5" w14:textId="77777777" w:rsidR="008A66B2" w:rsidRPr="008A66B2" w:rsidRDefault="008A66B2" w:rsidP="008A66B2">
      <w:pPr>
        <w:rPr>
          <w:lang w:val="en-US"/>
        </w:rPr>
      </w:pPr>
    </w:p>
    <w:p w14:paraId="654262CA" w14:textId="77777777" w:rsidR="007375BC" w:rsidRPr="007375BC" w:rsidRDefault="007375BC" w:rsidP="007375BC">
      <w:r w:rsidRPr="0053542E">
        <w:rPr>
          <w:noProof/>
        </w:rPr>
        <w:drawing>
          <wp:inline distT="0" distB="0" distL="0" distR="0" wp14:anchorId="55540140" wp14:editId="12C0D8E2">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3ED4CD14" w14:textId="77777777" w:rsidR="007375BC" w:rsidRPr="007375BC" w:rsidRDefault="007375BC" w:rsidP="007375BC">
      <w:pPr>
        <w:sectPr w:rsidR="007375BC" w:rsidRPr="007375BC" w:rsidSect="00C177B2">
          <w:footerReference w:type="default" r:id="rId15"/>
          <w:type w:val="continuous"/>
          <w:pgSz w:w="11906" w:h="16838"/>
          <w:pgMar w:top="1021" w:right="1021" w:bottom="1021" w:left="1021" w:header="454" w:footer="556" w:gutter="0"/>
          <w:cols w:space="708"/>
          <w:titlePg/>
          <w:docGrid w:linePitch="360"/>
        </w:sectPr>
      </w:pPr>
    </w:p>
    <w:p w14:paraId="53EA1D03" w14:textId="77777777" w:rsidR="00003CE4" w:rsidRDefault="00003CE4" w:rsidP="00D56518">
      <w:pPr>
        <w:rPr>
          <w:b/>
          <w:bCs/>
          <w:color w:val="005EB8"/>
          <w:sz w:val="22"/>
          <w:szCs w:val="22"/>
        </w:rPr>
      </w:pPr>
    </w:p>
    <w:p w14:paraId="38C2B236" w14:textId="77777777" w:rsidR="00003CE4" w:rsidRDefault="00003CE4" w:rsidP="00D56518">
      <w:pPr>
        <w:rPr>
          <w:b/>
          <w:bCs/>
          <w:color w:val="005EB8"/>
          <w:sz w:val="22"/>
          <w:szCs w:val="22"/>
        </w:rPr>
      </w:pPr>
    </w:p>
    <w:p w14:paraId="4C84F6E7" w14:textId="0F11CBC3" w:rsidR="007E1512" w:rsidRPr="003F49F7" w:rsidRDefault="000718BA" w:rsidP="00D56518">
      <w:pPr>
        <w:rPr>
          <w:b/>
          <w:bCs/>
          <w:color w:val="005EB8"/>
          <w:sz w:val="22"/>
          <w:szCs w:val="22"/>
        </w:rPr>
      </w:pPr>
      <w:r w:rsidRPr="003F49F7">
        <w:rPr>
          <w:b/>
          <w:bCs/>
          <w:color w:val="005EB8"/>
          <w:sz w:val="22"/>
          <w:szCs w:val="22"/>
        </w:rPr>
        <w:t>Introduction</w:t>
      </w:r>
    </w:p>
    <w:p w14:paraId="09AB1509" w14:textId="77777777"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rPr>
      </w:pPr>
      <w:r w:rsidRPr="003F49F7">
        <w:rPr>
          <w:rFonts w:cs="Arial"/>
          <w:sz w:val="22"/>
          <w:szCs w:val="22"/>
        </w:rPr>
        <w:t>Thank you to all colleagues for educating our learners and for taking the time to complete your organisation approval form. It is recognised that this is a significant undertaking, and your efforts are truly valued and appreciated.</w:t>
      </w:r>
    </w:p>
    <w:p w14:paraId="38AD2D8C" w14:textId="77777777"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rPr>
      </w:pPr>
    </w:p>
    <w:p w14:paraId="1824EFF0" w14:textId="460D80E2"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rPr>
      </w:pPr>
      <w:r w:rsidRPr="003F49F7">
        <w:rPr>
          <w:rFonts w:cs="Arial"/>
          <w:sz w:val="22"/>
          <w:szCs w:val="22"/>
        </w:rPr>
        <w:t>The recognition of new learning organisations follows a standardised approach across the East of England. This process is undertaken by the training hub quality leads on behalf of National Health Service England’s Workforce, Transformation and Education Directorate (NHSE WT</w:t>
      </w:r>
      <w:r w:rsidR="005F5758">
        <w:rPr>
          <w:rFonts w:cs="Arial"/>
          <w:sz w:val="22"/>
          <w:szCs w:val="22"/>
        </w:rPr>
        <w:t>&amp;</w:t>
      </w:r>
      <w:r w:rsidRPr="003F49F7">
        <w:rPr>
          <w:rFonts w:cs="Arial"/>
          <w:sz w:val="22"/>
          <w:szCs w:val="22"/>
        </w:rPr>
        <w:t xml:space="preserve">E). It is a multiprofessional approach that encompasses all learners within primary care settings, including nurses, first contact practitioners, pharmacy, advanced care practitioners, foundation, and general practice (GP) trainees.  </w:t>
      </w:r>
    </w:p>
    <w:p w14:paraId="3F942307" w14:textId="77777777"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lang w:val="en-US"/>
        </w:rPr>
      </w:pPr>
    </w:p>
    <w:p w14:paraId="412C384B" w14:textId="0F1632C6"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lang w:val="en-US"/>
        </w:rPr>
      </w:pPr>
      <w:r w:rsidRPr="003F49F7">
        <w:rPr>
          <w:rFonts w:cs="Arial"/>
          <w:sz w:val="22"/>
          <w:szCs w:val="22"/>
          <w:lang w:val="en-US"/>
        </w:rPr>
        <w:t xml:space="preserve">Learning </w:t>
      </w:r>
      <w:proofErr w:type="spellStart"/>
      <w:r w:rsidRPr="003F49F7">
        <w:rPr>
          <w:rFonts w:cs="Arial"/>
          <w:sz w:val="22"/>
          <w:szCs w:val="22"/>
          <w:lang w:val="en-US"/>
        </w:rPr>
        <w:t>organisations</w:t>
      </w:r>
      <w:proofErr w:type="spellEnd"/>
      <w:r w:rsidRPr="003F49F7">
        <w:rPr>
          <w:rFonts w:cs="Arial"/>
          <w:sz w:val="22"/>
          <w:szCs w:val="22"/>
          <w:lang w:val="en-US"/>
        </w:rPr>
        <w:t xml:space="preserve"> must be formally accredited and re-approved by NHSE WT</w:t>
      </w:r>
      <w:r w:rsidR="005F5758">
        <w:rPr>
          <w:rFonts w:cs="Arial"/>
          <w:sz w:val="22"/>
          <w:szCs w:val="22"/>
          <w:lang w:val="en-US"/>
        </w:rPr>
        <w:t>&amp;</w:t>
      </w:r>
      <w:r w:rsidRPr="003F49F7">
        <w:rPr>
          <w:rFonts w:cs="Arial"/>
          <w:sz w:val="22"/>
          <w:szCs w:val="22"/>
          <w:lang w:val="en-US"/>
        </w:rPr>
        <w:t>E. The initial approval period should usually be for a maximum of two years; re-approvals should take place at least every four years. During an initial assessment, the training hub team will wish to speak with as many learners and educators within the practice as possible, as well as other members of the multi-disciplinary team who may contribute to learning.</w:t>
      </w:r>
    </w:p>
    <w:p w14:paraId="1C334704" w14:textId="77777777"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lang w:val="en-US"/>
        </w:rPr>
      </w:pPr>
    </w:p>
    <w:p w14:paraId="1E72DA5E" w14:textId="5630C984"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lang w:val="en-US"/>
        </w:rPr>
      </w:pPr>
      <w:r w:rsidRPr="003F49F7">
        <w:rPr>
          <w:rFonts w:cs="Arial"/>
          <w:sz w:val="22"/>
          <w:szCs w:val="22"/>
          <w:lang w:val="en-US"/>
        </w:rPr>
        <w:t xml:space="preserve">Please be aware that the training hub assessors are from a broad range of backgrounds including nursing, doctors, universities, and advanced practice. Therefore, when completing the application form, please do not use medical jargon and ensure </w:t>
      </w:r>
      <w:proofErr w:type="gramStart"/>
      <w:r w:rsidRPr="003F49F7">
        <w:rPr>
          <w:rFonts w:cs="Arial"/>
          <w:sz w:val="22"/>
          <w:szCs w:val="22"/>
          <w:lang w:val="en-US"/>
        </w:rPr>
        <w:t>all of</w:t>
      </w:r>
      <w:proofErr w:type="gramEnd"/>
      <w:r w:rsidRPr="003F49F7">
        <w:rPr>
          <w:rFonts w:cs="Arial"/>
          <w:sz w:val="22"/>
          <w:szCs w:val="22"/>
          <w:lang w:val="en-US"/>
        </w:rPr>
        <w:t xml:space="preserve"> your acronyms are explained. Finally</w:t>
      </w:r>
      <w:r w:rsidR="0093170A">
        <w:rPr>
          <w:rFonts w:cs="Arial"/>
          <w:sz w:val="22"/>
          <w:szCs w:val="22"/>
          <w:lang w:val="en-US"/>
        </w:rPr>
        <w:t>,</w:t>
      </w:r>
      <w:r w:rsidRPr="003F49F7">
        <w:rPr>
          <w:rFonts w:cs="Arial"/>
          <w:sz w:val="22"/>
          <w:szCs w:val="22"/>
          <w:lang w:val="en-US"/>
        </w:rPr>
        <w:t xml:space="preserve"> please do not include any links and do not embed any documents as these cannot be opened by the assessors. Any additional documents (such as learner feedback) should be provided as separate email attachments. </w:t>
      </w:r>
    </w:p>
    <w:p w14:paraId="7CB60B73" w14:textId="77777777"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lang w:val="en-US"/>
        </w:rPr>
      </w:pPr>
    </w:p>
    <w:p w14:paraId="471717D2" w14:textId="35AB039A" w:rsidR="00D56518" w:rsidRPr="003F49F7" w:rsidRDefault="00D56518" w:rsidP="00D56518">
      <w:pPr>
        <w:pStyle w:val="ListParagraph"/>
        <w:widowControl w:val="0"/>
        <w:autoSpaceDE w:val="0"/>
        <w:autoSpaceDN w:val="0"/>
        <w:adjustRightInd w:val="0"/>
        <w:spacing w:after="0"/>
        <w:ind w:firstLine="0"/>
        <w:contextualSpacing/>
        <w:jc w:val="both"/>
        <w:rPr>
          <w:rFonts w:cs="Arial"/>
          <w:sz w:val="22"/>
          <w:szCs w:val="22"/>
          <w:lang w:val="en-US"/>
        </w:rPr>
      </w:pPr>
      <w:r w:rsidRPr="003F49F7">
        <w:rPr>
          <w:rFonts w:cs="Arial"/>
          <w:sz w:val="22"/>
          <w:szCs w:val="22"/>
          <w:lang w:val="en-US"/>
        </w:rPr>
        <w:t xml:space="preserve">It is imperative that this document is submitted to the training hub quality administrator </w:t>
      </w:r>
      <w:r w:rsidRPr="003F49F7">
        <w:rPr>
          <w:rFonts w:cs="Arial"/>
          <w:b/>
          <w:bCs/>
          <w:sz w:val="22"/>
          <w:szCs w:val="22"/>
          <w:lang w:val="en-US"/>
        </w:rPr>
        <w:t>at least one calendar month before your accreditation visit is due</w:t>
      </w:r>
      <w:r w:rsidRPr="003F49F7">
        <w:rPr>
          <w:rFonts w:cs="Arial"/>
          <w:sz w:val="22"/>
          <w:szCs w:val="22"/>
          <w:lang w:val="en-US"/>
        </w:rPr>
        <w:t xml:space="preserve">. This allows the training hub to check the paperwork, ask for clarifications if necessary, and then forward on to the visiting team such that they have time to check through the document and prepare any questions prior to the visit.  </w:t>
      </w:r>
    </w:p>
    <w:p w14:paraId="5BF9C0FC" w14:textId="77777777" w:rsidR="00D56518" w:rsidRDefault="00D56518" w:rsidP="00D56518">
      <w:pPr>
        <w:widowControl w:val="0"/>
        <w:autoSpaceDE w:val="0"/>
        <w:autoSpaceDN w:val="0"/>
        <w:adjustRightInd w:val="0"/>
        <w:rPr>
          <w:rFonts w:cs="Arial"/>
          <w:lang w:val="en-US"/>
        </w:rPr>
      </w:pPr>
    </w:p>
    <w:p w14:paraId="176D5A64" w14:textId="77777777" w:rsidR="00D56518" w:rsidRPr="00702820" w:rsidRDefault="00D56518" w:rsidP="00D56518">
      <w:pPr>
        <w:widowControl w:val="0"/>
        <w:autoSpaceDE w:val="0"/>
        <w:autoSpaceDN w:val="0"/>
        <w:adjustRightInd w:val="0"/>
        <w:rPr>
          <w:rFonts w:cs="Arial"/>
          <w:lang w:val="en-US"/>
        </w:rPr>
      </w:pPr>
    </w:p>
    <w:p w14:paraId="593175CF" w14:textId="77777777" w:rsidR="00D56518" w:rsidRPr="00702820" w:rsidRDefault="00D56518" w:rsidP="00D56518">
      <w:pPr>
        <w:widowControl w:val="0"/>
        <w:autoSpaceDE w:val="0"/>
        <w:autoSpaceDN w:val="0"/>
        <w:adjustRightInd w:val="0"/>
        <w:rPr>
          <w:rFonts w:cs="Arial"/>
          <w:lang w:val="en-US"/>
        </w:rPr>
      </w:pPr>
    </w:p>
    <w:p w14:paraId="59816AFA" w14:textId="77777777" w:rsidR="00D56518" w:rsidRPr="00702820" w:rsidRDefault="00D56518" w:rsidP="00D56518">
      <w:pPr>
        <w:rPr>
          <w:rFonts w:cs="Arial"/>
          <w:lang w:val="en-US"/>
        </w:rPr>
        <w:sectPr w:rsidR="00D56518" w:rsidRPr="00702820" w:rsidSect="00D56518">
          <w:headerReference w:type="default" r:id="rId16"/>
          <w:footerReference w:type="default" r:id="rId17"/>
          <w:pgSz w:w="11907" w:h="16839"/>
          <w:pgMar w:top="1440" w:right="1440" w:bottom="1440" w:left="1440" w:header="720" w:footer="720" w:gutter="0"/>
          <w:cols w:space="720"/>
          <w:docGrid w:linePitch="326"/>
        </w:sectPr>
      </w:pPr>
    </w:p>
    <w:p w14:paraId="48F6758F" w14:textId="77777777" w:rsidR="00003CE4" w:rsidRDefault="00003CE4" w:rsidP="0006400B">
      <w:pPr>
        <w:widowControl w:val="0"/>
        <w:autoSpaceDE w:val="0"/>
        <w:autoSpaceDN w:val="0"/>
        <w:adjustRightInd w:val="0"/>
        <w:jc w:val="both"/>
        <w:rPr>
          <w:rFonts w:cs="Arial"/>
          <w:b/>
          <w:color w:val="005EB8"/>
          <w:sz w:val="22"/>
          <w:szCs w:val="22"/>
          <w:lang w:val="en-US"/>
        </w:rPr>
      </w:pPr>
    </w:p>
    <w:p w14:paraId="440207A8" w14:textId="77777777" w:rsidR="00003CE4" w:rsidRDefault="00003CE4" w:rsidP="0006400B">
      <w:pPr>
        <w:widowControl w:val="0"/>
        <w:autoSpaceDE w:val="0"/>
        <w:autoSpaceDN w:val="0"/>
        <w:adjustRightInd w:val="0"/>
        <w:jc w:val="both"/>
        <w:rPr>
          <w:rFonts w:cs="Arial"/>
          <w:b/>
          <w:color w:val="005EB8"/>
          <w:sz w:val="22"/>
          <w:szCs w:val="22"/>
          <w:lang w:val="en-US"/>
        </w:rPr>
      </w:pPr>
    </w:p>
    <w:p w14:paraId="5DEEBAC3" w14:textId="140FFA4D" w:rsidR="00D56518" w:rsidRPr="0006400B" w:rsidRDefault="00D56518" w:rsidP="0006400B">
      <w:pPr>
        <w:widowControl w:val="0"/>
        <w:autoSpaceDE w:val="0"/>
        <w:autoSpaceDN w:val="0"/>
        <w:adjustRightInd w:val="0"/>
        <w:jc w:val="both"/>
        <w:rPr>
          <w:rFonts w:cs="Arial"/>
          <w:b/>
          <w:color w:val="005EB8"/>
          <w:sz w:val="22"/>
          <w:szCs w:val="22"/>
          <w:lang w:val="en-US"/>
        </w:rPr>
      </w:pPr>
      <w:r w:rsidRPr="0006400B">
        <w:rPr>
          <w:rFonts w:cs="Arial"/>
          <w:b/>
          <w:color w:val="005EB8"/>
          <w:sz w:val="22"/>
          <w:szCs w:val="22"/>
          <w:lang w:val="en-US"/>
        </w:rPr>
        <w:t>Section 1: Placement Details</w:t>
      </w:r>
    </w:p>
    <w:p w14:paraId="7E9290BB" w14:textId="43C3A8CF" w:rsidR="00D56518" w:rsidRPr="00F21396" w:rsidRDefault="00D56518" w:rsidP="00F21396">
      <w:pPr>
        <w:pStyle w:val="ListParagraph"/>
        <w:widowControl w:val="0"/>
        <w:numPr>
          <w:ilvl w:val="0"/>
          <w:numId w:val="10"/>
        </w:numPr>
        <w:autoSpaceDE w:val="0"/>
        <w:autoSpaceDN w:val="0"/>
        <w:adjustRightInd w:val="0"/>
        <w:jc w:val="both"/>
        <w:rPr>
          <w:rFonts w:cs="Arial"/>
          <w:bCs/>
          <w:sz w:val="22"/>
          <w:szCs w:val="22"/>
          <w:lang w:val="en-US"/>
        </w:rPr>
      </w:pPr>
      <w:r w:rsidRPr="00F21396">
        <w:rPr>
          <w:rFonts w:cs="Arial"/>
          <w:bCs/>
          <w:sz w:val="22"/>
          <w:szCs w:val="22"/>
          <w:lang w:val="en-US"/>
        </w:rPr>
        <w:t>This section describes the context within which learners work within the organisation and aids the training hub to understand the functions of the organisation and how the learners fit in.</w:t>
      </w:r>
    </w:p>
    <w:p w14:paraId="7B356E05" w14:textId="77777777" w:rsidR="003F49F7" w:rsidRPr="0006400B" w:rsidRDefault="003F49F7" w:rsidP="0006400B">
      <w:pPr>
        <w:widowControl w:val="0"/>
        <w:autoSpaceDE w:val="0"/>
        <w:autoSpaceDN w:val="0"/>
        <w:adjustRightInd w:val="0"/>
        <w:jc w:val="both"/>
        <w:rPr>
          <w:rFonts w:cs="Arial"/>
          <w:bCs/>
          <w:sz w:val="22"/>
          <w:szCs w:val="22"/>
          <w:lang w:val="en-US"/>
        </w:rPr>
      </w:pPr>
    </w:p>
    <w:p w14:paraId="7354CCC1" w14:textId="77777777" w:rsidR="00632043" w:rsidRPr="0006400B" w:rsidRDefault="00D56518" w:rsidP="0006400B">
      <w:pPr>
        <w:widowControl w:val="0"/>
        <w:autoSpaceDE w:val="0"/>
        <w:autoSpaceDN w:val="0"/>
        <w:adjustRightInd w:val="0"/>
        <w:jc w:val="both"/>
        <w:rPr>
          <w:rFonts w:cs="Arial"/>
          <w:b/>
          <w:color w:val="005EB8"/>
          <w:sz w:val="22"/>
          <w:szCs w:val="22"/>
          <w:lang w:val="en-US"/>
        </w:rPr>
      </w:pPr>
      <w:r w:rsidRPr="0006400B">
        <w:rPr>
          <w:rFonts w:cs="Arial"/>
          <w:b/>
          <w:color w:val="005EB8"/>
          <w:sz w:val="22"/>
          <w:szCs w:val="22"/>
          <w:lang w:val="en-US"/>
        </w:rPr>
        <w:t xml:space="preserve">Section 2: </w:t>
      </w:r>
    </w:p>
    <w:p w14:paraId="16851FC7" w14:textId="5D46771F" w:rsidR="00D56518" w:rsidRPr="0006400B" w:rsidRDefault="00D56518" w:rsidP="0006400B">
      <w:pPr>
        <w:widowControl w:val="0"/>
        <w:autoSpaceDE w:val="0"/>
        <w:autoSpaceDN w:val="0"/>
        <w:adjustRightInd w:val="0"/>
        <w:jc w:val="both"/>
        <w:rPr>
          <w:rFonts w:cs="Arial"/>
          <w:b/>
          <w:color w:val="005EB8"/>
          <w:sz w:val="22"/>
          <w:szCs w:val="22"/>
          <w:lang w:val="en-US"/>
        </w:rPr>
      </w:pPr>
      <w:r w:rsidRPr="0006400B">
        <w:rPr>
          <w:rFonts w:cs="Arial"/>
          <w:b/>
          <w:color w:val="005EB8"/>
          <w:sz w:val="22"/>
          <w:szCs w:val="22"/>
          <w:lang w:val="en-US"/>
        </w:rPr>
        <w:t>Domain 1: Learning Environment and Culture</w:t>
      </w:r>
    </w:p>
    <w:p w14:paraId="458CA160" w14:textId="07EE2D5F" w:rsidR="005B6A12" w:rsidRPr="00D82D45" w:rsidRDefault="00D56518" w:rsidP="0006400B">
      <w:pPr>
        <w:pStyle w:val="ListParagraph"/>
        <w:widowControl w:val="0"/>
        <w:numPr>
          <w:ilvl w:val="0"/>
          <w:numId w:val="8"/>
        </w:numPr>
        <w:autoSpaceDE w:val="0"/>
        <w:autoSpaceDN w:val="0"/>
        <w:adjustRightInd w:val="0"/>
        <w:jc w:val="both"/>
        <w:rPr>
          <w:rFonts w:cs="Arial"/>
          <w:sz w:val="22"/>
          <w:szCs w:val="22"/>
          <w:lang w:val="en-US"/>
        </w:rPr>
      </w:pPr>
      <w:r w:rsidRPr="00F21396">
        <w:rPr>
          <w:rFonts w:cs="Arial"/>
          <w:sz w:val="22"/>
          <w:szCs w:val="22"/>
          <w:lang w:val="en-US"/>
        </w:rPr>
        <w:t xml:space="preserve">The organisation should have a learning and training ethos and be able to show effective use of the entire primary healthcare team in assisting learners. </w:t>
      </w:r>
    </w:p>
    <w:p w14:paraId="0BF0469F" w14:textId="279BB0DA" w:rsidR="005B6A12" w:rsidRPr="00D82D45" w:rsidRDefault="00D56518" w:rsidP="0006400B">
      <w:pPr>
        <w:pStyle w:val="ListParagraph"/>
        <w:widowControl w:val="0"/>
        <w:numPr>
          <w:ilvl w:val="0"/>
          <w:numId w:val="8"/>
        </w:numPr>
        <w:autoSpaceDE w:val="0"/>
        <w:autoSpaceDN w:val="0"/>
        <w:adjustRightInd w:val="0"/>
        <w:jc w:val="both"/>
        <w:rPr>
          <w:rFonts w:cs="Arial"/>
          <w:sz w:val="22"/>
          <w:szCs w:val="22"/>
          <w:lang w:val="en-US"/>
        </w:rPr>
      </w:pPr>
      <w:r w:rsidRPr="00F21396">
        <w:rPr>
          <w:rFonts w:cs="Arial"/>
          <w:sz w:val="22"/>
          <w:szCs w:val="22"/>
          <w:lang w:val="en-US"/>
        </w:rPr>
        <w:t>The organisation should also gather feedback from patients and learners and reflect upon this, making changes as appropriate.</w:t>
      </w:r>
    </w:p>
    <w:p w14:paraId="5F4A5F96" w14:textId="77777777" w:rsidR="00D56518" w:rsidRPr="00F21396" w:rsidRDefault="00D56518" w:rsidP="00F21396">
      <w:pPr>
        <w:pStyle w:val="ListParagraph"/>
        <w:widowControl w:val="0"/>
        <w:numPr>
          <w:ilvl w:val="0"/>
          <w:numId w:val="8"/>
        </w:numPr>
        <w:autoSpaceDE w:val="0"/>
        <w:autoSpaceDN w:val="0"/>
        <w:adjustRightInd w:val="0"/>
        <w:jc w:val="both"/>
        <w:rPr>
          <w:rFonts w:cs="Arial"/>
          <w:sz w:val="22"/>
          <w:szCs w:val="22"/>
          <w:lang w:val="en-US"/>
        </w:rPr>
      </w:pPr>
      <w:r w:rsidRPr="00F21396">
        <w:rPr>
          <w:rFonts w:cs="Arial"/>
          <w:sz w:val="22"/>
          <w:szCs w:val="22"/>
          <w:lang w:val="en-US"/>
        </w:rPr>
        <w:t xml:space="preserve">The organisation should provide the learner with facilities in the organisation to secure personal items safely. </w:t>
      </w:r>
    </w:p>
    <w:p w14:paraId="604CBBBF" w14:textId="77777777" w:rsidR="005B6A12" w:rsidRPr="0006400B" w:rsidRDefault="005B6A12" w:rsidP="0006400B">
      <w:pPr>
        <w:widowControl w:val="0"/>
        <w:autoSpaceDE w:val="0"/>
        <w:autoSpaceDN w:val="0"/>
        <w:adjustRightInd w:val="0"/>
        <w:jc w:val="both"/>
        <w:rPr>
          <w:rFonts w:cs="Arial"/>
          <w:sz w:val="22"/>
          <w:szCs w:val="22"/>
          <w:lang w:val="en-US"/>
        </w:rPr>
      </w:pPr>
    </w:p>
    <w:p w14:paraId="1936409C" w14:textId="77777777" w:rsidR="003F49F7" w:rsidRPr="0006400B" w:rsidRDefault="00D56518" w:rsidP="0006400B">
      <w:pPr>
        <w:widowControl w:val="0"/>
        <w:autoSpaceDE w:val="0"/>
        <w:autoSpaceDN w:val="0"/>
        <w:adjustRightInd w:val="0"/>
        <w:jc w:val="both"/>
        <w:rPr>
          <w:rFonts w:cs="Arial"/>
          <w:b/>
          <w:color w:val="005EB8"/>
          <w:sz w:val="22"/>
          <w:szCs w:val="22"/>
          <w:lang w:val="en-US"/>
        </w:rPr>
      </w:pPr>
      <w:r w:rsidRPr="0006400B">
        <w:rPr>
          <w:rFonts w:cs="Arial"/>
          <w:b/>
          <w:color w:val="005EB8"/>
          <w:sz w:val="22"/>
          <w:szCs w:val="22"/>
          <w:lang w:val="en-US"/>
        </w:rPr>
        <w:t>Domain 2: Educational Governance and Leadership</w:t>
      </w:r>
    </w:p>
    <w:p w14:paraId="0DF01DCA" w14:textId="663C78B1" w:rsidR="003F49F7" w:rsidRPr="00D82D45" w:rsidRDefault="00D56518" w:rsidP="0006400B">
      <w:pPr>
        <w:pStyle w:val="ListParagraph"/>
        <w:widowControl w:val="0"/>
        <w:numPr>
          <w:ilvl w:val="0"/>
          <w:numId w:val="9"/>
        </w:numPr>
        <w:autoSpaceDE w:val="0"/>
        <w:autoSpaceDN w:val="0"/>
        <w:adjustRightInd w:val="0"/>
        <w:jc w:val="both"/>
        <w:rPr>
          <w:rFonts w:cs="Arial"/>
          <w:sz w:val="22"/>
          <w:szCs w:val="22"/>
          <w:lang w:val="en-US"/>
        </w:rPr>
      </w:pPr>
      <w:r w:rsidRPr="00F21396">
        <w:rPr>
          <w:rFonts w:cs="Arial"/>
          <w:sz w:val="22"/>
          <w:szCs w:val="22"/>
          <w:lang w:val="en-US"/>
        </w:rPr>
        <w:t xml:space="preserve">The organisation should involve the learner in clinical governance processes, including quality improvement activities, significant event analyses and audit. The organisation should have regular meetings which the learner should attend, wherever possible, and at which organisation management, including complaints, and the management of patients are discussed. </w:t>
      </w:r>
    </w:p>
    <w:p w14:paraId="28AE0A36" w14:textId="1C283810" w:rsidR="005B6A12" w:rsidRPr="00D82D45" w:rsidRDefault="00D56518" w:rsidP="0006400B">
      <w:pPr>
        <w:pStyle w:val="ListParagraph"/>
        <w:widowControl w:val="0"/>
        <w:numPr>
          <w:ilvl w:val="0"/>
          <w:numId w:val="9"/>
        </w:numPr>
        <w:autoSpaceDE w:val="0"/>
        <w:autoSpaceDN w:val="0"/>
        <w:adjustRightInd w:val="0"/>
        <w:jc w:val="both"/>
        <w:rPr>
          <w:rFonts w:cs="Arial"/>
          <w:sz w:val="22"/>
          <w:szCs w:val="22"/>
          <w:lang w:val="en-US"/>
        </w:rPr>
      </w:pPr>
      <w:r w:rsidRPr="00F21396">
        <w:rPr>
          <w:rFonts w:cs="Arial"/>
          <w:sz w:val="22"/>
          <w:szCs w:val="22"/>
          <w:lang w:val="en-US"/>
        </w:rPr>
        <w:t xml:space="preserve">There should be appropriate processes in place to ensure that the learner receives the results of investigations and referrals that they have initiated, and that they are supported to action these results appropriately and can prescribe safely. </w:t>
      </w:r>
    </w:p>
    <w:p w14:paraId="166EB303" w14:textId="77777777" w:rsidR="00D56518" w:rsidRPr="00F21396" w:rsidRDefault="00D56518" w:rsidP="00F21396">
      <w:pPr>
        <w:pStyle w:val="ListParagraph"/>
        <w:widowControl w:val="0"/>
        <w:numPr>
          <w:ilvl w:val="0"/>
          <w:numId w:val="9"/>
        </w:numPr>
        <w:autoSpaceDE w:val="0"/>
        <w:autoSpaceDN w:val="0"/>
        <w:adjustRightInd w:val="0"/>
        <w:jc w:val="both"/>
        <w:rPr>
          <w:rFonts w:cs="Arial"/>
          <w:sz w:val="22"/>
          <w:szCs w:val="22"/>
          <w:lang w:val="en-US"/>
        </w:rPr>
      </w:pPr>
      <w:r w:rsidRPr="00F21396">
        <w:rPr>
          <w:rFonts w:cs="Arial"/>
          <w:sz w:val="22"/>
          <w:szCs w:val="22"/>
          <w:lang w:val="en-US"/>
        </w:rPr>
        <w:t>The organisation should also consider the views of current and past learners and respond accordingly.</w:t>
      </w:r>
    </w:p>
    <w:p w14:paraId="6D4C11EE" w14:textId="77777777" w:rsidR="005B6A12" w:rsidRPr="0006400B" w:rsidRDefault="005B6A12" w:rsidP="0006400B">
      <w:pPr>
        <w:widowControl w:val="0"/>
        <w:autoSpaceDE w:val="0"/>
        <w:autoSpaceDN w:val="0"/>
        <w:adjustRightInd w:val="0"/>
        <w:jc w:val="both"/>
        <w:rPr>
          <w:rFonts w:cs="Arial"/>
          <w:sz w:val="22"/>
          <w:szCs w:val="22"/>
          <w:lang w:val="en-US"/>
        </w:rPr>
      </w:pPr>
    </w:p>
    <w:p w14:paraId="5ED97A96" w14:textId="77777777" w:rsidR="003F49F7" w:rsidRPr="005B6A12" w:rsidRDefault="00D56518" w:rsidP="0006400B">
      <w:pPr>
        <w:widowControl w:val="0"/>
        <w:autoSpaceDE w:val="0"/>
        <w:autoSpaceDN w:val="0"/>
        <w:adjustRightInd w:val="0"/>
        <w:jc w:val="both"/>
        <w:rPr>
          <w:rFonts w:cs="Arial"/>
          <w:b/>
          <w:color w:val="005EB8"/>
          <w:sz w:val="22"/>
          <w:szCs w:val="22"/>
          <w:lang w:val="en-US"/>
        </w:rPr>
      </w:pPr>
      <w:r w:rsidRPr="005B6A12">
        <w:rPr>
          <w:rFonts w:cs="Arial"/>
          <w:b/>
          <w:color w:val="005EB8"/>
          <w:sz w:val="22"/>
          <w:szCs w:val="22"/>
          <w:lang w:val="en-US"/>
        </w:rPr>
        <w:t>Domain 3: Supporting Learners</w:t>
      </w:r>
    </w:p>
    <w:p w14:paraId="15ABC128" w14:textId="6FADCC21" w:rsidR="003F49F7" w:rsidRPr="00CF2071" w:rsidRDefault="00D56518" w:rsidP="0006400B">
      <w:pPr>
        <w:pStyle w:val="ListParagraph"/>
        <w:widowControl w:val="0"/>
        <w:numPr>
          <w:ilvl w:val="0"/>
          <w:numId w:val="11"/>
        </w:numPr>
        <w:autoSpaceDE w:val="0"/>
        <w:autoSpaceDN w:val="0"/>
        <w:adjustRightInd w:val="0"/>
        <w:jc w:val="both"/>
        <w:rPr>
          <w:rFonts w:cs="Arial"/>
          <w:b/>
          <w:sz w:val="22"/>
          <w:szCs w:val="22"/>
          <w:lang w:val="en-US"/>
        </w:rPr>
      </w:pPr>
      <w:r w:rsidRPr="00CF2071">
        <w:rPr>
          <w:rFonts w:cs="Arial"/>
          <w:bCs/>
          <w:sz w:val="22"/>
          <w:szCs w:val="22"/>
          <w:lang w:val="en-US"/>
        </w:rPr>
        <w:t>Learners should receive an effective induction and feedback on induction processes should be reflected upon and actioned where necessary.</w:t>
      </w:r>
    </w:p>
    <w:p w14:paraId="0487DC2C" w14:textId="00F721BC" w:rsidR="005115A2" w:rsidRPr="00CF2071" w:rsidRDefault="00D56518" w:rsidP="0006400B">
      <w:pPr>
        <w:pStyle w:val="ListParagraph"/>
        <w:widowControl w:val="0"/>
        <w:numPr>
          <w:ilvl w:val="0"/>
          <w:numId w:val="11"/>
        </w:numPr>
        <w:autoSpaceDE w:val="0"/>
        <w:autoSpaceDN w:val="0"/>
        <w:adjustRightInd w:val="0"/>
        <w:jc w:val="both"/>
        <w:rPr>
          <w:rFonts w:cs="Arial"/>
          <w:bCs/>
          <w:sz w:val="22"/>
          <w:szCs w:val="22"/>
          <w:lang w:val="en-US"/>
        </w:rPr>
      </w:pPr>
      <w:r w:rsidRPr="00CF2071">
        <w:rPr>
          <w:rFonts w:cs="Arial"/>
          <w:bCs/>
          <w:sz w:val="22"/>
          <w:szCs w:val="22"/>
          <w:lang w:val="en-US"/>
        </w:rPr>
        <w:t>Learners should be adequately supervised and protected time should be made available for the learners and supervisors.</w:t>
      </w:r>
    </w:p>
    <w:p w14:paraId="023B7EC7" w14:textId="77777777" w:rsidR="003F49F7" w:rsidRPr="00CF2071" w:rsidRDefault="00D56518" w:rsidP="00CF2071">
      <w:pPr>
        <w:pStyle w:val="ListParagraph"/>
        <w:widowControl w:val="0"/>
        <w:numPr>
          <w:ilvl w:val="0"/>
          <w:numId w:val="11"/>
        </w:numPr>
        <w:autoSpaceDE w:val="0"/>
        <w:autoSpaceDN w:val="0"/>
        <w:adjustRightInd w:val="0"/>
        <w:jc w:val="both"/>
        <w:rPr>
          <w:rFonts w:cs="Arial"/>
          <w:sz w:val="22"/>
          <w:szCs w:val="22"/>
          <w:lang w:val="en-US"/>
        </w:rPr>
      </w:pPr>
      <w:r w:rsidRPr="00CF2071">
        <w:rPr>
          <w:rFonts w:cs="Arial"/>
          <w:sz w:val="22"/>
          <w:szCs w:val="22"/>
          <w:lang w:val="en-US"/>
        </w:rPr>
        <w:t>The organisation must normally be able to cope with its patient load effectively with or without learners.</w:t>
      </w:r>
    </w:p>
    <w:p w14:paraId="4C3E13DA" w14:textId="0DA86DAF" w:rsidR="005115A2" w:rsidRPr="00CD5860" w:rsidRDefault="00D56518" w:rsidP="0006400B">
      <w:pPr>
        <w:pStyle w:val="ListParagraph"/>
        <w:widowControl w:val="0"/>
        <w:numPr>
          <w:ilvl w:val="0"/>
          <w:numId w:val="11"/>
        </w:numPr>
        <w:autoSpaceDE w:val="0"/>
        <w:autoSpaceDN w:val="0"/>
        <w:adjustRightInd w:val="0"/>
        <w:jc w:val="both"/>
        <w:rPr>
          <w:rFonts w:cs="Arial"/>
          <w:sz w:val="22"/>
          <w:szCs w:val="22"/>
          <w:lang w:val="en-US"/>
        </w:rPr>
      </w:pPr>
      <w:r w:rsidRPr="00CF2071">
        <w:rPr>
          <w:rFonts w:cs="Arial"/>
          <w:sz w:val="22"/>
          <w:szCs w:val="22"/>
          <w:lang w:val="en-US"/>
        </w:rPr>
        <w:t xml:space="preserve">Equipment for recording patient consultations must be easily accessible and procedures should be in place to ensure that patient consent is obtained appropriately. </w:t>
      </w:r>
    </w:p>
    <w:p w14:paraId="15EF5FA8" w14:textId="0FA35DBC" w:rsidR="00D56518" w:rsidRPr="00CF2071" w:rsidRDefault="00D56518" w:rsidP="00CF2071">
      <w:pPr>
        <w:pStyle w:val="ListParagraph"/>
        <w:widowControl w:val="0"/>
        <w:numPr>
          <w:ilvl w:val="0"/>
          <w:numId w:val="11"/>
        </w:numPr>
        <w:autoSpaceDE w:val="0"/>
        <w:autoSpaceDN w:val="0"/>
        <w:adjustRightInd w:val="0"/>
        <w:jc w:val="both"/>
        <w:rPr>
          <w:rFonts w:cs="Arial"/>
          <w:sz w:val="22"/>
          <w:szCs w:val="22"/>
          <w:lang w:val="en-US"/>
        </w:rPr>
      </w:pPr>
      <w:r w:rsidRPr="00CF2071">
        <w:rPr>
          <w:rFonts w:cs="Arial"/>
          <w:sz w:val="22"/>
          <w:szCs w:val="22"/>
          <w:lang w:val="en-US"/>
        </w:rPr>
        <w:t>The wellbeing of learners should be ensured with specific consideration given to those who may have neurodiversity, dyslexia or other specific learning difficulties.</w:t>
      </w:r>
    </w:p>
    <w:p w14:paraId="1B2D5A87" w14:textId="77777777" w:rsidR="005115A2" w:rsidRPr="0006400B" w:rsidRDefault="005115A2" w:rsidP="0006400B">
      <w:pPr>
        <w:widowControl w:val="0"/>
        <w:autoSpaceDE w:val="0"/>
        <w:autoSpaceDN w:val="0"/>
        <w:adjustRightInd w:val="0"/>
        <w:jc w:val="both"/>
        <w:rPr>
          <w:rFonts w:cs="Arial"/>
          <w:sz w:val="22"/>
          <w:szCs w:val="22"/>
          <w:lang w:val="en-US"/>
        </w:rPr>
      </w:pPr>
    </w:p>
    <w:p w14:paraId="4A2826BF" w14:textId="77777777" w:rsidR="003F49F7" w:rsidRPr="005115A2" w:rsidRDefault="00D56518" w:rsidP="0006400B">
      <w:pPr>
        <w:widowControl w:val="0"/>
        <w:autoSpaceDE w:val="0"/>
        <w:autoSpaceDN w:val="0"/>
        <w:adjustRightInd w:val="0"/>
        <w:jc w:val="both"/>
        <w:rPr>
          <w:rFonts w:cs="Arial"/>
          <w:b/>
          <w:color w:val="005EB8"/>
          <w:sz w:val="22"/>
          <w:szCs w:val="22"/>
          <w:lang w:val="en-US"/>
        </w:rPr>
      </w:pPr>
      <w:r w:rsidRPr="005115A2">
        <w:rPr>
          <w:rFonts w:cs="Arial"/>
          <w:b/>
          <w:color w:val="005EB8"/>
          <w:sz w:val="22"/>
          <w:szCs w:val="22"/>
          <w:lang w:val="en-US"/>
        </w:rPr>
        <w:t>Domain 4: Supporting Educators</w:t>
      </w:r>
    </w:p>
    <w:p w14:paraId="0C494A3B" w14:textId="58844E95" w:rsidR="00D56518" w:rsidRPr="00AA2F9E" w:rsidRDefault="00D56518" w:rsidP="00CD5860">
      <w:pPr>
        <w:pStyle w:val="ListParagraph"/>
        <w:widowControl w:val="0"/>
        <w:numPr>
          <w:ilvl w:val="0"/>
          <w:numId w:val="12"/>
        </w:numPr>
        <w:autoSpaceDE w:val="0"/>
        <w:autoSpaceDN w:val="0"/>
        <w:adjustRightInd w:val="0"/>
        <w:jc w:val="both"/>
        <w:rPr>
          <w:rFonts w:cs="Arial"/>
          <w:b/>
          <w:sz w:val="22"/>
          <w:szCs w:val="22"/>
          <w:lang w:val="en-US"/>
        </w:rPr>
      </w:pPr>
      <w:r w:rsidRPr="00CD5860">
        <w:rPr>
          <w:rFonts w:cs="Arial"/>
          <w:sz w:val="22"/>
          <w:szCs w:val="22"/>
          <w:lang w:val="en-US"/>
        </w:rPr>
        <w:t xml:space="preserve">Educational supervisors or clinical supervisors in the practice should have adequate protected time for training and supervision. This protected time should include (but is not limited to) workplace-based assessments, educational/clinical supervisor reports, </w:t>
      </w:r>
      <w:proofErr w:type="spellStart"/>
      <w:r w:rsidRPr="00CD5860">
        <w:rPr>
          <w:rFonts w:cs="Arial"/>
          <w:sz w:val="22"/>
          <w:szCs w:val="22"/>
          <w:lang w:val="en-US"/>
        </w:rPr>
        <w:t>eportfolio</w:t>
      </w:r>
      <w:proofErr w:type="spellEnd"/>
      <w:r w:rsidRPr="00CD5860">
        <w:rPr>
          <w:rFonts w:cs="Arial"/>
          <w:sz w:val="22"/>
          <w:szCs w:val="22"/>
          <w:lang w:val="en-US"/>
        </w:rPr>
        <w:t xml:space="preserve"> activity, attendance at local university/</w:t>
      </w:r>
      <w:proofErr w:type="spellStart"/>
      <w:r w:rsidRPr="00CD5860">
        <w:rPr>
          <w:rFonts w:cs="Arial"/>
          <w:sz w:val="22"/>
          <w:szCs w:val="22"/>
          <w:lang w:val="en-US"/>
        </w:rPr>
        <w:t>programme</w:t>
      </w:r>
      <w:proofErr w:type="spellEnd"/>
      <w:r w:rsidRPr="00CD5860">
        <w:rPr>
          <w:rFonts w:cs="Arial"/>
          <w:sz w:val="22"/>
          <w:szCs w:val="22"/>
          <w:lang w:val="en-US"/>
        </w:rPr>
        <w:t xml:space="preserve"> meetings and conferences, attendance at Annual Review of Competence Progression (ARCP) panels, East of England multiprofessional education offerings, and must have time to prepare any documentation required for their ongoing recognition. </w:t>
      </w:r>
    </w:p>
    <w:p w14:paraId="6AA472EE" w14:textId="77777777" w:rsidR="00AA2F9E" w:rsidRPr="00AA2F9E" w:rsidRDefault="00AA2F9E" w:rsidP="00AA2F9E">
      <w:pPr>
        <w:widowControl w:val="0"/>
        <w:autoSpaceDE w:val="0"/>
        <w:autoSpaceDN w:val="0"/>
        <w:adjustRightInd w:val="0"/>
        <w:jc w:val="both"/>
        <w:rPr>
          <w:rFonts w:cs="Arial"/>
          <w:b/>
          <w:sz w:val="22"/>
          <w:szCs w:val="22"/>
          <w:lang w:val="en-US"/>
        </w:rPr>
      </w:pPr>
    </w:p>
    <w:p w14:paraId="13012606" w14:textId="77777777" w:rsidR="00512761" w:rsidRPr="0006400B" w:rsidRDefault="00512761" w:rsidP="0006400B">
      <w:pPr>
        <w:widowControl w:val="0"/>
        <w:autoSpaceDE w:val="0"/>
        <w:autoSpaceDN w:val="0"/>
        <w:adjustRightInd w:val="0"/>
        <w:jc w:val="both"/>
        <w:rPr>
          <w:rFonts w:cs="Arial"/>
          <w:b/>
          <w:sz w:val="22"/>
          <w:szCs w:val="22"/>
          <w:lang w:val="en-US"/>
        </w:rPr>
      </w:pPr>
    </w:p>
    <w:p w14:paraId="555B733E" w14:textId="437DA73C" w:rsidR="005115A2" w:rsidRPr="00CD5860" w:rsidRDefault="00D56518" w:rsidP="0006400B">
      <w:pPr>
        <w:pStyle w:val="ListParagraph"/>
        <w:widowControl w:val="0"/>
        <w:numPr>
          <w:ilvl w:val="0"/>
          <w:numId w:val="12"/>
        </w:numPr>
        <w:autoSpaceDE w:val="0"/>
        <w:autoSpaceDN w:val="0"/>
        <w:adjustRightInd w:val="0"/>
        <w:jc w:val="both"/>
        <w:rPr>
          <w:rFonts w:cs="Arial"/>
          <w:sz w:val="22"/>
          <w:szCs w:val="22"/>
          <w:lang w:val="en-US"/>
        </w:rPr>
      </w:pPr>
      <w:r w:rsidRPr="00CD5860">
        <w:rPr>
          <w:rFonts w:cs="Arial"/>
          <w:sz w:val="22"/>
          <w:szCs w:val="22"/>
          <w:lang w:val="en-US"/>
        </w:rPr>
        <w:t xml:space="preserve">GP Trainers should seek to ensure that the quality of their GP training is assured and benchmarked against other GP Trainers. </w:t>
      </w:r>
    </w:p>
    <w:p w14:paraId="65641AB5" w14:textId="063EE5C3" w:rsidR="005115A2" w:rsidRPr="007E7AB0" w:rsidRDefault="00D56518" w:rsidP="0006400B">
      <w:pPr>
        <w:pStyle w:val="ListParagraph"/>
        <w:widowControl w:val="0"/>
        <w:numPr>
          <w:ilvl w:val="0"/>
          <w:numId w:val="12"/>
        </w:numPr>
        <w:autoSpaceDE w:val="0"/>
        <w:autoSpaceDN w:val="0"/>
        <w:adjustRightInd w:val="0"/>
        <w:jc w:val="both"/>
        <w:rPr>
          <w:rFonts w:cs="Arial"/>
          <w:sz w:val="22"/>
          <w:szCs w:val="22"/>
          <w:lang w:val="en-US"/>
        </w:rPr>
      </w:pPr>
      <w:r w:rsidRPr="00CD5860">
        <w:rPr>
          <w:rFonts w:cs="Arial"/>
          <w:sz w:val="22"/>
          <w:szCs w:val="22"/>
          <w:lang w:val="en-US"/>
        </w:rPr>
        <w:t xml:space="preserve">All members of the primary healthcare team involved in teaching must have personal development plans that cover their work as educators. </w:t>
      </w:r>
    </w:p>
    <w:p w14:paraId="73EADC3D" w14:textId="77777777" w:rsidR="00003CE4" w:rsidRDefault="00003CE4" w:rsidP="0006400B">
      <w:pPr>
        <w:widowControl w:val="0"/>
        <w:autoSpaceDE w:val="0"/>
        <w:autoSpaceDN w:val="0"/>
        <w:adjustRightInd w:val="0"/>
        <w:jc w:val="both"/>
        <w:rPr>
          <w:rFonts w:cs="Arial"/>
          <w:b/>
          <w:bCs/>
          <w:color w:val="005EB8"/>
          <w:sz w:val="22"/>
          <w:szCs w:val="22"/>
          <w:lang w:val="en-US"/>
        </w:rPr>
      </w:pPr>
    </w:p>
    <w:p w14:paraId="4401FD19" w14:textId="25882B1E" w:rsidR="00D56518" w:rsidRPr="005115A2" w:rsidRDefault="00D56518" w:rsidP="0006400B">
      <w:pPr>
        <w:widowControl w:val="0"/>
        <w:autoSpaceDE w:val="0"/>
        <w:autoSpaceDN w:val="0"/>
        <w:adjustRightInd w:val="0"/>
        <w:jc w:val="both"/>
        <w:rPr>
          <w:rFonts w:cs="Arial"/>
          <w:b/>
          <w:bCs/>
          <w:color w:val="005EB8"/>
          <w:sz w:val="22"/>
          <w:szCs w:val="22"/>
          <w:lang w:val="en-US"/>
        </w:rPr>
      </w:pPr>
      <w:r w:rsidRPr="005115A2">
        <w:rPr>
          <w:rFonts w:cs="Arial"/>
          <w:b/>
          <w:bCs/>
          <w:color w:val="005EB8"/>
          <w:sz w:val="22"/>
          <w:szCs w:val="22"/>
          <w:lang w:val="en-US"/>
        </w:rPr>
        <w:t>Domain 5: Delivering Curricula and Assessment</w:t>
      </w:r>
    </w:p>
    <w:p w14:paraId="3488240C" w14:textId="2E90D041" w:rsidR="00512761" w:rsidRPr="007E7AB0" w:rsidRDefault="00D56518" w:rsidP="0006400B">
      <w:pPr>
        <w:pStyle w:val="ListParagraph"/>
        <w:widowControl w:val="0"/>
        <w:numPr>
          <w:ilvl w:val="0"/>
          <w:numId w:val="13"/>
        </w:numPr>
        <w:autoSpaceDE w:val="0"/>
        <w:autoSpaceDN w:val="0"/>
        <w:adjustRightInd w:val="0"/>
        <w:jc w:val="both"/>
        <w:rPr>
          <w:rFonts w:cs="Arial"/>
          <w:sz w:val="22"/>
          <w:szCs w:val="22"/>
          <w:lang w:val="en-US"/>
        </w:rPr>
      </w:pPr>
      <w:r w:rsidRPr="007E7AB0">
        <w:rPr>
          <w:rFonts w:cs="Arial"/>
          <w:sz w:val="22"/>
          <w:szCs w:val="22"/>
          <w:lang w:val="en-US"/>
        </w:rPr>
        <w:t>All educators within the organisation should be supported in remaining up to date with the curricular requirements of their learners. This includes allowing educators protected time to attend relevant updates.</w:t>
      </w:r>
    </w:p>
    <w:p w14:paraId="4CB4A576" w14:textId="7F40A727" w:rsidR="00D56518" w:rsidRPr="007E7AB0" w:rsidRDefault="00D56518" w:rsidP="007E7AB0">
      <w:pPr>
        <w:pStyle w:val="ListParagraph"/>
        <w:widowControl w:val="0"/>
        <w:numPr>
          <w:ilvl w:val="0"/>
          <w:numId w:val="13"/>
        </w:numPr>
        <w:autoSpaceDE w:val="0"/>
        <w:autoSpaceDN w:val="0"/>
        <w:adjustRightInd w:val="0"/>
        <w:jc w:val="both"/>
        <w:rPr>
          <w:rFonts w:cs="Arial"/>
          <w:sz w:val="22"/>
          <w:szCs w:val="22"/>
          <w:lang w:val="en-US"/>
        </w:rPr>
      </w:pPr>
      <w:r w:rsidRPr="007E7AB0">
        <w:rPr>
          <w:rFonts w:cs="Arial"/>
          <w:sz w:val="22"/>
          <w:szCs w:val="22"/>
          <w:lang w:val="en-US"/>
        </w:rPr>
        <w:t xml:space="preserve">The organisation needs to provide relevant experience for learners such that they can demonstrate their curricular requirements. This means that a broad range of experiences will need to be supported. </w:t>
      </w:r>
    </w:p>
    <w:p w14:paraId="54630A1C" w14:textId="77777777" w:rsidR="005115A2" w:rsidRPr="0006400B" w:rsidRDefault="005115A2" w:rsidP="0006400B">
      <w:pPr>
        <w:widowControl w:val="0"/>
        <w:autoSpaceDE w:val="0"/>
        <w:autoSpaceDN w:val="0"/>
        <w:adjustRightInd w:val="0"/>
        <w:jc w:val="both"/>
        <w:rPr>
          <w:rFonts w:cs="Arial"/>
          <w:sz w:val="22"/>
          <w:szCs w:val="22"/>
          <w:lang w:val="en-US"/>
        </w:rPr>
      </w:pPr>
    </w:p>
    <w:p w14:paraId="493C6F71" w14:textId="77777777" w:rsidR="00D56518" w:rsidRPr="005115A2" w:rsidRDefault="00D56518" w:rsidP="0006400B">
      <w:pPr>
        <w:widowControl w:val="0"/>
        <w:autoSpaceDE w:val="0"/>
        <w:autoSpaceDN w:val="0"/>
        <w:adjustRightInd w:val="0"/>
        <w:jc w:val="both"/>
        <w:rPr>
          <w:rFonts w:cs="Arial"/>
          <w:b/>
          <w:bCs/>
          <w:color w:val="005EB8"/>
          <w:sz w:val="22"/>
          <w:szCs w:val="22"/>
          <w:lang w:val="en-US"/>
        </w:rPr>
      </w:pPr>
      <w:r w:rsidRPr="005115A2">
        <w:rPr>
          <w:rFonts w:cs="Arial"/>
          <w:b/>
          <w:bCs/>
          <w:color w:val="005EB8"/>
          <w:sz w:val="22"/>
          <w:szCs w:val="22"/>
          <w:lang w:val="en-US"/>
        </w:rPr>
        <w:t>Domain 6: Delivering a Sustainable Workforce</w:t>
      </w:r>
    </w:p>
    <w:p w14:paraId="1A04BF5B" w14:textId="21EDB6FA" w:rsidR="005115A2" w:rsidRPr="001C5806" w:rsidRDefault="00D56518" w:rsidP="001C5806">
      <w:pPr>
        <w:pStyle w:val="ListParagraph"/>
        <w:widowControl w:val="0"/>
        <w:numPr>
          <w:ilvl w:val="0"/>
          <w:numId w:val="14"/>
        </w:numPr>
        <w:autoSpaceDE w:val="0"/>
        <w:autoSpaceDN w:val="0"/>
        <w:adjustRightInd w:val="0"/>
        <w:jc w:val="both"/>
        <w:rPr>
          <w:rFonts w:cs="Arial"/>
          <w:sz w:val="22"/>
          <w:szCs w:val="22"/>
          <w:lang w:val="en-US"/>
        </w:rPr>
      </w:pPr>
      <w:r w:rsidRPr="001C5806">
        <w:rPr>
          <w:rFonts w:cs="Arial"/>
          <w:sz w:val="22"/>
          <w:szCs w:val="22"/>
          <w:lang w:val="en-US"/>
        </w:rPr>
        <w:t xml:space="preserve">This is an opportunity to celebrate success and how you plan to educate and retain your future workforce. </w:t>
      </w:r>
    </w:p>
    <w:p w14:paraId="6046A6F6" w14:textId="77777777" w:rsidR="005115A2" w:rsidRDefault="005115A2" w:rsidP="005115A2">
      <w:pPr>
        <w:widowControl w:val="0"/>
        <w:autoSpaceDE w:val="0"/>
        <w:autoSpaceDN w:val="0"/>
        <w:adjustRightInd w:val="0"/>
        <w:jc w:val="both"/>
        <w:rPr>
          <w:rFonts w:cs="Arial"/>
          <w:sz w:val="22"/>
          <w:szCs w:val="22"/>
          <w:lang w:val="en-US"/>
        </w:rPr>
      </w:pPr>
    </w:p>
    <w:p w14:paraId="7C569A3E" w14:textId="77777777" w:rsidR="005115A2" w:rsidRDefault="005115A2" w:rsidP="005115A2">
      <w:pPr>
        <w:widowControl w:val="0"/>
        <w:autoSpaceDE w:val="0"/>
        <w:autoSpaceDN w:val="0"/>
        <w:adjustRightInd w:val="0"/>
        <w:jc w:val="both"/>
        <w:rPr>
          <w:rFonts w:cs="Arial"/>
          <w:sz w:val="22"/>
          <w:szCs w:val="22"/>
          <w:lang w:val="en-US"/>
        </w:rPr>
      </w:pPr>
    </w:p>
    <w:p w14:paraId="37617825" w14:textId="77777777" w:rsidR="005115A2" w:rsidRDefault="005115A2" w:rsidP="005115A2">
      <w:pPr>
        <w:widowControl w:val="0"/>
        <w:autoSpaceDE w:val="0"/>
        <w:autoSpaceDN w:val="0"/>
        <w:adjustRightInd w:val="0"/>
        <w:jc w:val="both"/>
        <w:rPr>
          <w:rFonts w:cs="Arial"/>
          <w:sz w:val="22"/>
          <w:szCs w:val="22"/>
          <w:lang w:val="en-US"/>
        </w:rPr>
      </w:pPr>
    </w:p>
    <w:p w14:paraId="2428AD3C" w14:textId="77777777" w:rsidR="005115A2" w:rsidRDefault="005115A2" w:rsidP="005115A2">
      <w:pPr>
        <w:widowControl w:val="0"/>
        <w:autoSpaceDE w:val="0"/>
        <w:autoSpaceDN w:val="0"/>
        <w:adjustRightInd w:val="0"/>
        <w:jc w:val="both"/>
        <w:rPr>
          <w:rFonts w:cs="Arial"/>
          <w:sz w:val="22"/>
          <w:szCs w:val="22"/>
          <w:lang w:val="en-US"/>
        </w:rPr>
      </w:pPr>
    </w:p>
    <w:p w14:paraId="2E7C10D4" w14:textId="77777777" w:rsidR="005115A2" w:rsidRDefault="005115A2" w:rsidP="005115A2">
      <w:pPr>
        <w:widowControl w:val="0"/>
        <w:autoSpaceDE w:val="0"/>
        <w:autoSpaceDN w:val="0"/>
        <w:adjustRightInd w:val="0"/>
        <w:jc w:val="both"/>
        <w:rPr>
          <w:rFonts w:cs="Arial"/>
          <w:sz w:val="22"/>
          <w:szCs w:val="22"/>
          <w:lang w:val="en-US"/>
        </w:rPr>
      </w:pPr>
    </w:p>
    <w:p w14:paraId="1EC253BF" w14:textId="77777777" w:rsidR="005115A2" w:rsidRDefault="005115A2" w:rsidP="005115A2">
      <w:pPr>
        <w:widowControl w:val="0"/>
        <w:autoSpaceDE w:val="0"/>
        <w:autoSpaceDN w:val="0"/>
        <w:adjustRightInd w:val="0"/>
        <w:jc w:val="both"/>
        <w:rPr>
          <w:rFonts w:cs="Arial"/>
          <w:sz w:val="22"/>
          <w:szCs w:val="22"/>
          <w:lang w:val="en-US"/>
        </w:rPr>
      </w:pPr>
    </w:p>
    <w:p w14:paraId="26454450" w14:textId="77777777" w:rsidR="005115A2" w:rsidRDefault="005115A2" w:rsidP="005115A2">
      <w:pPr>
        <w:widowControl w:val="0"/>
        <w:autoSpaceDE w:val="0"/>
        <w:autoSpaceDN w:val="0"/>
        <w:adjustRightInd w:val="0"/>
        <w:jc w:val="both"/>
        <w:rPr>
          <w:rFonts w:cs="Arial"/>
          <w:sz w:val="22"/>
          <w:szCs w:val="22"/>
          <w:lang w:val="en-US"/>
        </w:rPr>
      </w:pPr>
    </w:p>
    <w:p w14:paraId="0B67D5EF" w14:textId="77777777" w:rsidR="005115A2" w:rsidRDefault="005115A2" w:rsidP="005115A2">
      <w:pPr>
        <w:widowControl w:val="0"/>
        <w:autoSpaceDE w:val="0"/>
        <w:autoSpaceDN w:val="0"/>
        <w:adjustRightInd w:val="0"/>
        <w:jc w:val="both"/>
        <w:rPr>
          <w:rFonts w:cs="Arial"/>
          <w:sz w:val="22"/>
          <w:szCs w:val="22"/>
          <w:lang w:val="en-US"/>
        </w:rPr>
      </w:pPr>
    </w:p>
    <w:p w14:paraId="38176123" w14:textId="77777777" w:rsidR="005115A2" w:rsidRDefault="005115A2" w:rsidP="005115A2">
      <w:pPr>
        <w:widowControl w:val="0"/>
        <w:autoSpaceDE w:val="0"/>
        <w:autoSpaceDN w:val="0"/>
        <w:adjustRightInd w:val="0"/>
        <w:jc w:val="both"/>
        <w:rPr>
          <w:rFonts w:cs="Arial"/>
          <w:sz w:val="22"/>
          <w:szCs w:val="22"/>
          <w:lang w:val="en-US"/>
        </w:rPr>
      </w:pPr>
    </w:p>
    <w:p w14:paraId="48F2C026" w14:textId="77777777" w:rsidR="005115A2" w:rsidRDefault="005115A2" w:rsidP="005115A2">
      <w:pPr>
        <w:widowControl w:val="0"/>
        <w:autoSpaceDE w:val="0"/>
        <w:autoSpaceDN w:val="0"/>
        <w:adjustRightInd w:val="0"/>
        <w:jc w:val="both"/>
        <w:rPr>
          <w:rFonts w:cs="Arial"/>
          <w:sz w:val="22"/>
          <w:szCs w:val="22"/>
          <w:lang w:val="en-US"/>
        </w:rPr>
      </w:pPr>
    </w:p>
    <w:p w14:paraId="7288EBD5" w14:textId="77777777" w:rsidR="005115A2" w:rsidRDefault="005115A2" w:rsidP="005115A2">
      <w:pPr>
        <w:widowControl w:val="0"/>
        <w:autoSpaceDE w:val="0"/>
        <w:autoSpaceDN w:val="0"/>
        <w:adjustRightInd w:val="0"/>
        <w:jc w:val="both"/>
        <w:rPr>
          <w:rFonts w:cs="Arial"/>
          <w:sz w:val="22"/>
          <w:szCs w:val="22"/>
          <w:lang w:val="en-US"/>
        </w:rPr>
      </w:pPr>
    </w:p>
    <w:p w14:paraId="7A032E27" w14:textId="77777777" w:rsidR="005115A2" w:rsidRDefault="005115A2" w:rsidP="005115A2">
      <w:pPr>
        <w:widowControl w:val="0"/>
        <w:autoSpaceDE w:val="0"/>
        <w:autoSpaceDN w:val="0"/>
        <w:adjustRightInd w:val="0"/>
        <w:jc w:val="both"/>
        <w:rPr>
          <w:rFonts w:cs="Arial"/>
          <w:sz w:val="22"/>
          <w:szCs w:val="22"/>
          <w:lang w:val="en-US"/>
        </w:rPr>
      </w:pPr>
    </w:p>
    <w:p w14:paraId="3447C688" w14:textId="77777777" w:rsidR="005115A2" w:rsidRDefault="005115A2" w:rsidP="005115A2">
      <w:pPr>
        <w:widowControl w:val="0"/>
        <w:autoSpaceDE w:val="0"/>
        <w:autoSpaceDN w:val="0"/>
        <w:adjustRightInd w:val="0"/>
        <w:jc w:val="both"/>
        <w:rPr>
          <w:rFonts w:cs="Arial"/>
          <w:sz w:val="22"/>
          <w:szCs w:val="22"/>
          <w:lang w:val="en-US"/>
        </w:rPr>
      </w:pPr>
    </w:p>
    <w:p w14:paraId="2978BBCB" w14:textId="77777777" w:rsidR="005115A2" w:rsidRDefault="005115A2" w:rsidP="005115A2">
      <w:pPr>
        <w:widowControl w:val="0"/>
        <w:autoSpaceDE w:val="0"/>
        <w:autoSpaceDN w:val="0"/>
        <w:adjustRightInd w:val="0"/>
        <w:jc w:val="both"/>
        <w:rPr>
          <w:rFonts w:cs="Arial"/>
          <w:sz w:val="22"/>
          <w:szCs w:val="22"/>
          <w:lang w:val="en-US"/>
        </w:rPr>
      </w:pPr>
    </w:p>
    <w:p w14:paraId="186CC449" w14:textId="77777777" w:rsidR="005115A2" w:rsidRDefault="005115A2" w:rsidP="005115A2">
      <w:pPr>
        <w:widowControl w:val="0"/>
        <w:autoSpaceDE w:val="0"/>
        <w:autoSpaceDN w:val="0"/>
        <w:adjustRightInd w:val="0"/>
        <w:jc w:val="both"/>
        <w:rPr>
          <w:rFonts w:cs="Arial"/>
          <w:sz w:val="22"/>
          <w:szCs w:val="22"/>
          <w:lang w:val="en-US"/>
        </w:rPr>
      </w:pPr>
    </w:p>
    <w:p w14:paraId="2CB030D1" w14:textId="77777777" w:rsidR="005115A2" w:rsidRDefault="005115A2" w:rsidP="005115A2">
      <w:pPr>
        <w:widowControl w:val="0"/>
        <w:autoSpaceDE w:val="0"/>
        <w:autoSpaceDN w:val="0"/>
        <w:adjustRightInd w:val="0"/>
        <w:jc w:val="both"/>
        <w:rPr>
          <w:rFonts w:cs="Arial"/>
          <w:sz w:val="22"/>
          <w:szCs w:val="22"/>
          <w:lang w:val="en-US"/>
        </w:rPr>
      </w:pPr>
    </w:p>
    <w:p w14:paraId="00387895" w14:textId="77777777" w:rsidR="005115A2" w:rsidRDefault="005115A2" w:rsidP="005115A2">
      <w:pPr>
        <w:widowControl w:val="0"/>
        <w:autoSpaceDE w:val="0"/>
        <w:autoSpaceDN w:val="0"/>
        <w:adjustRightInd w:val="0"/>
        <w:jc w:val="both"/>
        <w:rPr>
          <w:rFonts w:cs="Arial"/>
          <w:sz w:val="22"/>
          <w:szCs w:val="22"/>
          <w:lang w:val="en-US"/>
        </w:rPr>
      </w:pPr>
    </w:p>
    <w:p w14:paraId="0C016F93" w14:textId="77777777" w:rsidR="005115A2" w:rsidRDefault="005115A2" w:rsidP="005115A2">
      <w:pPr>
        <w:widowControl w:val="0"/>
        <w:autoSpaceDE w:val="0"/>
        <w:autoSpaceDN w:val="0"/>
        <w:adjustRightInd w:val="0"/>
        <w:jc w:val="both"/>
        <w:rPr>
          <w:rFonts w:cs="Arial"/>
          <w:sz w:val="22"/>
          <w:szCs w:val="22"/>
          <w:lang w:val="en-US"/>
        </w:rPr>
      </w:pPr>
    </w:p>
    <w:p w14:paraId="6DF8ADBB" w14:textId="77777777" w:rsidR="005115A2" w:rsidRDefault="005115A2" w:rsidP="005115A2">
      <w:pPr>
        <w:widowControl w:val="0"/>
        <w:autoSpaceDE w:val="0"/>
        <w:autoSpaceDN w:val="0"/>
        <w:adjustRightInd w:val="0"/>
        <w:jc w:val="both"/>
        <w:rPr>
          <w:rFonts w:cs="Arial"/>
          <w:sz w:val="22"/>
          <w:szCs w:val="22"/>
          <w:lang w:val="en-US"/>
        </w:rPr>
      </w:pPr>
    </w:p>
    <w:p w14:paraId="0F7D7A01" w14:textId="77777777" w:rsidR="005115A2" w:rsidRDefault="005115A2" w:rsidP="005115A2">
      <w:pPr>
        <w:widowControl w:val="0"/>
        <w:autoSpaceDE w:val="0"/>
        <w:autoSpaceDN w:val="0"/>
        <w:adjustRightInd w:val="0"/>
        <w:jc w:val="both"/>
        <w:rPr>
          <w:rFonts w:cs="Arial"/>
          <w:sz w:val="22"/>
          <w:szCs w:val="22"/>
          <w:lang w:val="en-US"/>
        </w:rPr>
      </w:pPr>
    </w:p>
    <w:p w14:paraId="2AB2DC9F" w14:textId="77777777" w:rsidR="005115A2" w:rsidRDefault="005115A2" w:rsidP="005115A2">
      <w:pPr>
        <w:widowControl w:val="0"/>
        <w:autoSpaceDE w:val="0"/>
        <w:autoSpaceDN w:val="0"/>
        <w:adjustRightInd w:val="0"/>
        <w:jc w:val="both"/>
        <w:rPr>
          <w:rFonts w:cs="Arial"/>
          <w:sz w:val="22"/>
          <w:szCs w:val="22"/>
          <w:lang w:val="en-US"/>
        </w:rPr>
      </w:pPr>
    </w:p>
    <w:p w14:paraId="1F5E81DD" w14:textId="77777777" w:rsidR="005115A2" w:rsidRDefault="005115A2" w:rsidP="005115A2">
      <w:pPr>
        <w:widowControl w:val="0"/>
        <w:autoSpaceDE w:val="0"/>
        <w:autoSpaceDN w:val="0"/>
        <w:adjustRightInd w:val="0"/>
        <w:jc w:val="both"/>
        <w:rPr>
          <w:rFonts w:cs="Arial"/>
          <w:sz w:val="22"/>
          <w:szCs w:val="22"/>
          <w:lang w:val="en-US"/>
        </w:rPr>
      </w:pPr>
    </w:p>
    <w:p w14:paraId="6D4B0040" w14:textId="77777777" w:rsidR="005115A2" w:rsidRDefault="005115A2" w:rsidP="005115A2">
      <w:pPr>
        <w:widowControl w:val="0"/>
        <w:autoSpaceDE w:val="0"/>
        <w:autoSpaceDN w:val="0"/>
        <w:adjustRightInd w:val="0"/>
        <w:jc w:val="both"/>
        <w:rPr>
          <w:rFonts w:cs="Arial"/>
          <w:sz w:val="22"/>
          <w:szCs w:val="22"/>
          <w:lang w:val="en-US"/>
        </w:rPr>
      </w:pPr>
    </w:p>
    <w:p w14:paraId="7A529DE3" w14:textId="77777777" w:rsidR="005115A2" w:rsidRDefault="005115A2" w:rsidP="005115A2">
      <w:pPr>
        <w:widowControl w:val="0"/>
        <w:autoSpaceDE w:val="0"/>
        <w:autoSpaceDN w:val="0"/>
        <w:adjustRightInd w:val="0"/>
        <w:jc w:val="both"/>
        <w:rPr>
          <w:rFonts w:cs="Arial"/>
          <w:sz w:val="22"/>
          <w:szCs w:val="22"/>
          <w:lang w:val="en-US"/>
        </w:rPr>
      </w:pPr>
    </w:p>
    <w:p w14:paraId="1F7CC32F" w14:textId="77777777" w:rsidR="005115A2" w:rsidRDefault="005115A2" w:rsidP="005115A2">
      <w:pPr>
        <w:widowControl w:val="0"/>
        <w:autoSpaceDE w:val="0"/>
        <w:autoSpaceDN w:val="0"/>
        <w:adjustRightInd w:val="0"/>
        <w:jc w:val="both"/>
        <w:rPr>
          <w:rFonts w:cs="Arial"/>
          <w:sz w:val="22"/>
          <w:szCs w:val="22"/>
          <w:lang w:val="en-US"/>
        </w:rPr>
      </w:pPr>
    </w:p>
    <w:p w14:paraId="33879BB6" w14:textId="77777777" w:rsidR="005115A2" w:rsidRDefault="005115A2" w:rsidP="005115A2">
      <w:pPr>
        <w:widowControl w:val="0"/>
        <w:autoSpaceDE w:val="0"/>
        <w:autoSpaceDN w:val="0"/>
        <w:adjustRightInd w:val="0"/>
        <w:jc w:val="both"/>
        <w:rPr>
          <w:rFonts w:cs="Arial"/>
          <w:sz w:val="22"/>
          <w:szCs w:val="22"/>
          <w:lang w:val="en-US"/>
        </w:rPr>
      </w:pPr>
    </w:p>
    <w:p w14:paraId="24B3E546" w14:textId="77777777" w:rsidR="005115A2" w:rsidRDefault="005115A2" w:rsidP="005115A2">
      <w:pPr>
        <w:widowControl w:val="0"/>
        <w:autoSpaceDE w:val="0"/>
        <w:autoSpaceDN w:val="0"/>
        <w:adjustRightInd w:val="0"/>
        <w:jc w:val="both"/>
        <w:rPr>
          <w:rFonts w:cs="Arial"/>
          <w:sz w:val="22"/>
          <w:szCs w:val="22"/>
          <w:lang w:val="en-US"/>
        </w:rPr>
      </w:pPr>
    </w:p>
    <w:p w14:paraId="62BDB3EA" w14:textId="77777777" w:rsidR="005115A2" w:rsidRDefault="005115A2" w:rsidP="005115A2">
      <w:pPr>
        <w:widowControl w:val="0"/>
        <w:autoSpaceDE w:val="0"/>
        <w:autoSpaceDN w:val="0"/>
        <w:adjustRightInd w:val="0"/>
        <w:jc w:val="both"/>
        <w:rPr>
          <w:rFonts w:cs="Arial"/>
          <w:sz w:val="22"/>
          <w:szCs w:val="22"/>
          <w:lang w:val="en-US"/>
        </w:rPr>
      </w:pPr>
    </w:p>
    <w:p w14:paraId="3A9A95CC" w14:textId="77777777" w:rsidR="005115A2" w:rsidRDefault="005115A2" w:rsidP="005115A2">
      <w:pPr>
        <w:widowControl w:val="0"/>
        <w:autoSpaceDE w:val="0"/>
        <w:autoSpaceDN w:val="0"/>
        <w:adjustRightInd w:val="0"/>
        <w:jc w:val="both"/>
        <w:rPr>
          <w:rFonts w:cs="Arial"/>
          <w:sz w:val="22"/>
          <w:szCs w:val="22"/>
          <w:lang w:val="en-US"/>
        </w:rPr>
      </w:pPr>
    </w:p>
    <w:p w14:paraId="37EEB255" w14:textId="77777777" w:rsidR="005115A2" w:rsidRDefault="005115A2" w:rsidP="005115A2">
      <w:pPr>
        <w:widowControl w:val="0"/>
        <w:autoSpaceDE w:val="0"/>
        <w:autoSpaceDN w:val="0"/>
        <w:adjustRightInd w:val="0"/>
        <w:jc w:val="both"/>
        <w:rPr>
          <w:rFonts w:cs="Arial"/>
          <w:sz w:val="22"/>
          <w:szCs w:val="22"/>
          <w:lang w:val="en-US"/>
        </w:rPr>
      </w:pPr>
    </w:p>
    <w:p w14:paraId="30FBEAFC" w14:textId="77777777" w:rsidR="005115A2" w:rsidRDefault="005115A2" w:rsidP="005115A2">
      <w:pPr>
        <w:widowControl w:val="0"/>
        <w:autoSpaceDE w:val="0"/>
        <w:autoSpaceDN w:val="0"/>
        <w:adjustRightInd w:val="0"/>
        <w:jc w:val="both"/>
        <w:rPr>
          <w:rFonts w:cs="Arial"/>
          <w:sz w:val="22"/>
          <w:szCs w:val="22"/>
          <w:lang w:val="en-US"/>
        </w:rPr>
      </w:pPr>
    </w:p>
    <w:p w14:paraId="03AA950F" w14:textId="77777777" w:rsidR="005115A2" w:rsidRDefault="005115A2" w:rsidP="005115A2">
      <w:pPr>
        <w:widowControl w:val="0"/>
        <w:autoSpaceDE w:val="0"/>
        <w:autoSpaceDN w:val="0"/>
        <w:adjustRightInd w:val="0"/>
        <w:jc w:val="both"/>
        <w:rPr>
          <w:rFonts w:cs="Arial"/>
          <w:sz w:val="22"/>
          <w:szCs w:val="22"/>
          <w:lang w:val="en-US"/>
        </w:rPr>
      </w:pPr>
    </w:p>
    <w:p w14:paraId="24C1EE07" w14:textId="77777777" w:rsidR="005115A2" w:rsidRDefault="005115A2" w:rsidP="005115A2">
      <w:pPr>
        <w:widowControl w:val="0"/>
        <w:autoSpaceDE w:val="0"/>
        <w:autoSpaceDN w:val="0"/>
        <w:adjustRightInd w:val="0"/>
        <w:jc w:val="both"/>
        <w:rPr>
          <w:rFonts w:cs="Arial"/>
          <w:sz w:val="22"/>
          <w:szCs w:val="22"/>
          <w:lang w:val="en-US"/>
        </w:rPr>
      </w:pPr>
    </w:p>
    <w:p w14:paraId="18CA7E59" w14:textId="77777777" w:rsidR="005115A2" w:rsidRDefault="005115A2" w:rsidP="005115A2">
      <w:pPr>
        <w:widowControl w:val="0"/>
        <w:autoSpaceDE w:val="0"/>
        <w:autoSpaceDN w:val="0"/>
        <w:adjustRightInd w:val="0"/>
        <w:jc w:val="both"/>
        <w:rPr>
          <w:rFonts w:cs="Arial"/>
          <w:sz w:val="22"/>
          <w:szCs w:val="22"/>
          <w:lang w:val="en-US"/>
        </w:rPr>
      </w:pPr>
    </w:p>
    <w:p w14:paraId="49F13EC0" w14:textId="77777777" w:rsidR="005115A2" w:rsidRDefault="005115A2" w:rsidP="005115A2">
      <w:pPr>
        <w:widowControl w:val="0"/>
        <w:autoSpaceDE w:val="0"/>
        <w:autoSpaceDN w:val="0"/>
        <w:adjustRightInd w:val="0"/>
        <w:jc w:val="both"/>
        <w:rPr>
          <w:rFonts w:cs="Arial"/>
          <w:sz w:val="22"/>
          <w:szCs w:val="22"/>
          <w:lang w:val="en-US"/>
        </w:rPr>
      </w:pPr>
    </w:p>
    <w:p w14:paraId="0151431C" w14:textId="77777777" w:rsidR="00003CE4" w:rsidRDefault="00003CE4" w:rsidP="001C5806">
      <w:pPr>
        <w:pStyle w:val="NormalWeb"/>
        <w:rPr>
          <w:rFonts w:ascii="Arial" w:hAnsi="Arial" w:cs="Arial"/>
          <w:b/>
          <w:color w:val="005EB8"/>
          <w:sz w:val="22"/>
          <w:szCs w:val="22"/>
        </w:rPr>
      </w:pPr>
    </w:p>
    <w:p w14:paraId="6A354B97" w14:textId="3208CD49" w:rsidR="00D56518" w:rsidRPr="00E926AA" w:rsidRDefault="00D56518" w:rsidP="00D56518">
      <w:pPr>
        <w:pStyle w:val="NormalWeb"/>
        <w:jc w:val="center"/>
        <w:rPr>
          <w:rFonts w:ascii="Arial" w:hAnsi="Arial" w:cs="Arial"/>
          <w:b/>
          <w:color w:val="005EB8"/>
          <w:sz w:val="22"/>
          <w:szCs w:val="22"/>
        </w:rPr>
      </w:pPr>
      <w:r w:rsidRPr="00E926AA">
        <w:rPr>
          <w:rFonts w:ascii="Arial" w:hAnsi="Arial" w:cs="Arial"/>
          <w:b/>
          <w:color w:val="005EB8"/>
          <w:sz w:val="22"/>
          <w:szCs w:val="22"/>
        </w:rPr>
        <w:t>A</w:t>
      </w:r>
      <w:r w:rsidR="00FD7EDB" w:rsidRPr="00E926AA">
        <w:rPr>
          <w:rFonts w:ascii="Arial" w:hAnsi="Arial" w:cs="Arial"/>
          <w:b/>
          <w:color w:val="005EB8"/>
          <w:sz w:val="22"/>
          <w:szCs w:val="22"/>
        </w:rPr>
        <w:t>ccreditation</w:t>
      </w:r>
      <w:r w:rsidRPr="00E926AA">
        <w:rPr>
          <w:rFonts w:ascii="Arial" w:hAnsi="Arial" w:cs="Arial"/>
          <w:b/>
          <w:color w:val="005EB8"/>
          <w:sz w:val="22"/>
          <w:szCs w:val="22"/>
        </w:rPr>
        <w:t xml:space="preserve"> </w:t>
      </w:r>
      <w:r w:rsidR="00FD7EDB" w:rsidRPr="00E926AA">
        <w:rPr>
          <w:rFonts w:ascii="Arial" w:hAnsi="Arial" w:cs="Arial"/>
          <w:b/>
          <w:color w:val="005EB8"/>
          <w:sz w:val="22"/>
          <w:szCs w:val="22"/>
        </w:rPr>
        <w:t>of</w:t>
      </w:r>
      <w:r w:rsidRPr="00E926AA">
        <w:rPr>
          <w:rFonts w:ascii="Arial" w:hAnsi="Arial" w:cs="Arial"/>
          <w:b/>
          <w:color w:val="005EB8"/>
          <w:sz w:val="22"/>
          <w:szCs w:val="22"/>
        </w:rPr>
        <w:t xml:space="preserve"> O</w:t>
      </w:r>
      <w:r w:rsidR="00FD7EDB" w:rsidRPr="00E926AA">
        <w:rPr>
          <w:rFonts w:ascii="Arial" w:hAnsi="Arial" w:cs="Arial"/>
          <w:b/>
          <w:color w:val="005EB8"/>
          <w:sz w:val="22"/>
          <w:szCs w:val="22"/>
        </w:rPr>
        <w:t xml:space="preserve">rganisations – </w:t>
      </w:r>
      <w:r w:rsidRPr="00E926AA">
        <w:rPr>
          <w:rFonts w:ascii="Arial" w:hAnsi="Arial" w:cs="Arial"/>
          <w:b/>
          <w:color w:val="005EB8"/>
          <w:sz w:val="22"/>
          <w:szCs w:val="22"/>
        </w:rPr>
        <w:t>P</w:t>
      </w:r>
      <w:r w:rsidR="00FD7EDB" w:rsidRPr="00E926AA">
        <w:rPr>
          <w:rFonts w:ascii="Arial" w:hAnsi="Arial" w:cs="Arial"/>
          <w:b/>
          <w:color w:val="005EB8"/>
          <w:sz w:val="22"/>
          <w:szCs w:val="22"/>
        </w:rPr>
        <w:t>rocess</w:t>
      </w:r>
    </w:p>
    <w:p w14:paraId="06704A4A" w14:textId="092E8797" w:rsidR="0006400B" w:rsidRPr="003A3B8C" w:rsidRDefault="00D56518" w:rsidP="003A3B8C">
      <w:pPr>
        <w:pStyle w:val="NormalWeb"/>
        <w:numPr>
          <w:ilvl w:val="0"/>
          <w:numId w:val="7"/>
        </w:numPr>
        <w:spacing w:before="0" w:beforeAutospacing="0" w:after="240" w:afterAutospacing="0"/>
        <w:jc w:val="both"/>
        <w:rPr>
          <w:rFonts w:ascii="Arial" w:hAnsi="Arial" w:cs="Arial"/>
          <w:bCs/>
          <w:sz w:val="22"/>
          <w:szCs w:val="22"/>
        </w:rPr>
      </w:pPr>
      <w:r w:rsidRPr="00E926AA">
        <w:rPr>
          <w:rFonts w:ascii="Arial" w:hAnsi="Arial" w:cs="Arial"/>
          <w:bCs/>
          <w:sz w:val="22"/>
          <w:szCs w:val="22"/>
        </w:rPr>
        <w:t>The accreditation date should be set and communicated by the training hub. Typically, the first accreditation is for a 2-year period and subsequent accreditations are for a 4-year period. However, the timelines may change somewhat depending on changes within the organisation and/or recommendations of the training hub.</w:t>
      </w:r>
    </w:p>
    <w:p w14:paraId="45DAA08E" w14:textId="4667B735" w:rsidR="003A3B8C" w:rsidRPr="003A3B8C" w:rsidRDefault="00D56518" w:rsidP="003A3B8C">
      <w:pPr>
        <w:pStyle w:val="NormalWeb"/>
        <w:numPr>
          <w:ilvl w:val="0"/>
          <w:numId w:val="7"/>
        </w:numPr>
        <w:spacing w:before="0" w:beforeAutospacing="0" w:after="240" w:afterAutospacing="0"/>
        <w:jc w:val="both"/>
        <w:rPr>
          <w:rFonts w:ascii="Arial" w:hAnsi="Arial" w:cs="Arial"/>
          <w:bCs/>
          <w:sz w:val="22"/>
          <w:szCs w:val="22"/>
        </w:rPr>
      </w:pPr>
      <w:r w:rsidRPr="00E926AA">
        <w:rPr>
          <w:rFonts w:ascii="Arial" w:hAnsi="Arial" w:cs="Arial"/>
          <w:bCs/>
          <w:sz w:val="22"/>
          <w:szCs w:val="22"/>
        </w:rPr>
        <w:t>Please ensure that ALL acronyms are explained so that they can be understood by different health professionals.</w:t>
      </w:r>
    </w:p>
    <w:p w14:paraId="483A86C4" w14:textId="34904FE9" w:rsidR="00E926AA" w:rsidRPr="003A3B8C" w:rsidRDefault="00D56518" w:rsidP="003A3B8C">
      <w:pPr>
        <w:pStyle w:val="NormalWeb"/>
        <w:numPr>
          <w:ilvl w:val="0"/>
          <w:numId w:val="7"/>
        </w:numPr>
        <w:spacing w:after="240" w:afterAutospacing="0"/>
        <w:jc w:val="both"/>
        <w:rPr>
          <w:rFonts w:ascii="Arial" w:hAnsi="Arial" w:cs="Arial"/>
          <w:bCs/>
          <w:sz w:val="22"/>
          <w:szCs w:val="22"/>
        </w:rPr>
      </w:pPr>
      <w:r w:rsidRPr="00E926AA">
        <w:rPr>
          <w:rFonts w:ascii="Arial" w:hAnsi="Arial" w:cs="Arial"/>
          <w:sz w:val="22"/>
          <w:szCs w:val="22"/>
        </w:rPr>
        <w:t>Contemporaneous supporting information on performance collected throughout the period of accreditation, including feedback from any previous learners, should be provided separately. Please do not embed any attachments within the application form.</w:t>
      </w:r>
    </w:p>
    <w:p w14:paraId="33CCD8B2" w14:textId="6575704C" w:rsidR="005115A2" w:rsidRPr="003A3B8C" w:rsidRDefault="00D56518" w:rsidP="003A3B8C">
      <w:pPr>
        <w:pStyle w:val="NormalWeb"/>
        <w:numPr>
          <w:ilvl w:val="0"/>
          <w:numId w:val="7"/>
        </w:numPr>
        <w:spacing w:before="0" w:beforeAutospacing="0" w:after="240" w:afterAutospacing="0"/>
        <w:jc w:val="both"/>
        <w:rPr>
          <w:rFonts w:ascii="Arial" w:hAnsi="Arial" w:cs="Arial"/>
          <w:b/>
          <w:sz w:val="22"/>
          <w:szCs w:val="22"/>
        </w:rPr>
      </w:pPr>
      <w:r w:rsidRPr="00E926AA">
        <w:rPr>
          <w:rFonts w:ascii="Arial" w:hAnsi="Arial" w:cs="Arial"/>
          <w:bCs/>
          <w:sz w:val="22"/>
          <w:szCs w:val="22"/>
        </w:rPr>
        <w:t xml:space="preserve">The application form should be emailed to the training hub quality team </w:t>
      </w:r>
      <w:r w:rsidRPr="00E926AA">
        <w:rPr>
          <w:rFonts w:ascii="Arial" w:hAnsi="Arial" w:cs="Arial"/>
          <w:b/>
          <w:sz w:val="22"/>
          <w:szCs w:val="22"/>
        </w:rPr>
        <w:t>at least one calendar month prior to your assessment date.</w:t>
      </w:r>
      <w:r w:rsidRPr="00E926AA">
        <w:rPr>
          <w:rFonts w:ascii="Arial" w:hAnsi="Arial" w:cs="Arial"/>
          <w:bCs/>
          <w:sz w:val="22"/>
          <w:szCs w:val="22"/>
        </w:rPr>
        <w:t xml:space="preserve"> </w:t>
      </w:r>
    </w:p>
    <w:p w14:paraId="2383C421" w14:textId="5B230AEB" w:rsidR="00F268E7" w:rsidRPr="003A3B8C" w:rsidRDefault="00D56518" w:rsidP="003A3B8C">
      <w:pPr>
        <w:pStyle w:val="NormalWeb"/>
        <w:numPr>
          <w:ilvl w:val="0"/>
          <w:numId w:val="7"/>
        </w:numPr>
        <w:spacing w:before="0" w:beforeAutospacing="0" w:after="240" w:afterAutospacing="0"/>
        <w:jc w:val="both"/>
        <w:rPr>
          <w:rFonts w:ascii="Arial" w:hAnsi="Arial" w:cs="Arial"/>
          <w:bCs/>
          <w:sz w:val="22"/>
          <w:szCs w:val="22"/>
        </w:rPr>
      </w:pPr>
      <w:r w:rsidRPr="00E926AA">
        <w:rPr>
          <w:rFonts w:ascii="Arial" w:hAnsi="Arial" w:cs="Arial"/>
          <w:bCs/>
          <w:sz w:val="22"/>
          <w:szCs w:val="22"/>
        </w:rPr>
        <w:t>The assessment may take place in the organisation itself or by virtual or remote modalities. The training hub quality team will suggest a timetable in advance of the meeting. The team usually like to speak with other organisation members and the organisation should aim to facilitate this. The visit will ordinarily be no longer than a half day, depending on the size of the practice.</w:t>
      </w:r>
    </w:p>
    <w:p w14:paraId="0D498106" w14:textId="259790AE" w:rsidR="003A3B8C" w:rsidRPr="003A3B8C" w:rsidRDefault="00D56518" w:rsidP="003A3B8C">
      <w:pPr>
        <w:pStyle w:val="NormalWeb"/>
        <w:numPr>
          <w:ilvl w:val="0"/>
          <w:numId w:val="7"/>
        </w:numPr>
        <w:spacing w:before="0" w:beforeAutospacing="0" w:after="240" w:afterAutospacing="0"/>
        <w:jc w:val="both"/>
        <w:rPr>
          <w:rFonts w:ascii="Arial" w:hAnsi="Arial" w:cs="Arial"/>
          <w:bCs/>
          <w:sz w:val="22"/>
          <w:szCs w:val="22"/>
        </w:rPr>
      </w:pPr>
      <w:r w:rsidRPr="00E926AA">
        <w:rPr>
          <w:rFonts w:ascii="Arial" w:hAnsi="Arial" w:cs="Arial"/>
          <w:bCs/>
          <w:sz w:val="22"/>
          <w:szCs w:val="22"/>
        </w:rPr>
        <w:t xml:space="preserve">Once the visiting team has agreed to recognise the organisation a recommendation is made to the Primary Care School Quality Oversight Panel who ratify that decision. This panel normally meets at the end of each month but if a more urgent decision is required an extraordinary panel may be convened in exceptional circumstances. </w:t>
      </w:r>
    </w:p>
    <w:p w14:paraId="24EE94F6" w14:textId="5E61E485" w:rsidR="00D56518" w:rsidRPr="00E926AA" w:rsidRDefault="00D56518" w:rsidP="003A3B8C">
      <w:pPr>
        <w:pStyle w:val="NormalWeb"/>
        <w:numPr>
          <w:ilvl w:val="0"/>
          <w:numId w:val="7"/>
        </w:numPr>
        <w:spacing w:after="240" w:afterAutospacing="0"/>
        <w:jc w:val="both"/>
        <w:rPr>
          <w:rFonts w:ascii="Arial" w:hAnsi="Arial" w:cs="Arial"/>
          <w:bCs/>
          <w:sz w:val="22"/>
          <w:szCs w:val="22"/>
        </w:rPr>
      </w:pPr>
      <w:r w:rsidRPr="00E926AA">
        <w:rPr>
          <w:rFonts w:ascii="Arial" w:hAnsi="Arial" w:cs="Arial"/>
          <w:bCs/>
          <w:sz w:val="22"/>
          <w:szCs w:val="22"/>
        </w:rPr>
        <w:t xml:space="preserve">The recognition of the organisation as an approved learning environment will be promulgated to the organisation via the training hub quality team. At this point you will be asked to sign a declaration accepting the various terms and conditions of being an approved learning organisation. </w:t>
      </w:r>
    </w:p>
    <w:p w14:paraId="6FD55717" w14:textId="77777777" w:rsidR="00D56518" w:rsidRPr="00D42758" w:rsidRDefault="00D56518" w:rsidP="001816F3">
      <w:pPr>
        <w:widowControl w:val="0"/>
        <w:autoSpaceDE w:val="0"/>
        <w:autoSpaceDN w:val="0"/>
        <w:adjustRightInd w:val="0"/>
        <w:rPr>
          <w:rFonts w:cs="Arial"/>
          <w:b/>
          <w:lang w:val="en-US"/>
        </w:rPr>
      </w:pPr>
    </w:p>
    <w:p w14:paraId="792EAE19" w14:textId="77777777" w:rsidR="000718BA" w:rsidRDefault="000718BA" w:rsidP="001816F3"/>
    <w:sectPr w:rsidR="000718BA" w:rsidSect="00C177B2">
      <w:headerReference w:type="first" r:id="rId18"/>
      <w:footerReference w:type="first" r:id="rId19"/>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084F6" w14:textId="77777777" w:rsidR="00687FCF" w:rsidRDefault="00687FCF" w:rsidP="000C24AF">
      <w:r>
        <w:separator/>
      </w:r>
    </w:p>
  </w:endnote>
  <w:endnote w:type="continuationSeparator" w:id="0">
    <w:p w14:paraId="298432BD" w14:textId="77777777" w:rsidR="00687FCF" w:rsidRDefault="00687FCF" w:rsidP="000C24AF">
      <w:r>
        <w:continuationSeparator/>
      </w:r>
    </w:p>
  </w:endnote>
  <w:endnote w:type="continuationNotice" w:id="1">
    <w:p w14:paraId="150D4147" w14:textId="77777777" w:rsidR="00687FCF" w:rsidRDefault="00687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5B3F" w14:textId="1B821302" w:rsidR="00603A2C" w:rsidRDefault="00603A2C" w:rsidP="00603A2C">
    <w:pPr>
      <w:pStyle w:val="Footer"/>
      <w:pBdr>
        <w:top w:val="single" w:sz="4" w:space="1" w:color="005EB8"/>
      </w:pBdr>
    </w:pPr>
  </w:p>
  <w:p w14:paraId="33DA4AAB" w14:textId="723D03E6" w:rsidR="00B72132" w:rsidRPr="00AC35F8" w:rsidRDefault="00B72132">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3F002DE4" w14:textId="77777777" w:rsidR="008A3E2F" w:rsidRDefault="008A3E2F" w:rsidP="008A3E2F">
        <w:pPr>
          <w:pStyle w:val="Footer"/>
          <w:pBdr>
            <w:top w:val="single" w:sz="4" w:space="1" w:color="005EB8"/>
          </w:pBdr>
        </w:pPr>
      </w:p>
      <w:p w14:paraId="04ED537B"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79549"/>
      <w:docPartObj>
        <w:docPartGallery w:val="Page Numbers (Bottom of Page)"/>
        <w:docPartUnique/>
      </w:docPartObj>
    </w:sdtPr>
    <w:sdtEndPr>
      <w:rPr>
        <w:noProof/>
        <w:sz w:val="24"/>
      </w:rPr>
    </w:sdtEndPr>
    <w:sdtContent>
      <w:p w14:paraId="0EF5F82C" w14:textId="77777777" w:rsidR="00D56518" w:rsidRPr="00D56518" w:rsidRDefault="00D56518">
        <w:pPr>
          <w:pStyle w:val="Footer"/>
          <w:jc w:val="center"/>
          <w:rPr>
            <w:sz w:val="24"/>
          </w:rPr>
        </w:pPr>
        <w:r w:rsidRPr="00D56518">
          <w:rPr>
            <w:sz w:val="24"/>
          </w:rPr>
          <w:fldChar w:fldCharType="begin"/>
        </w:r>
        <w:r w:rsidRPr="00D56518">
          <w:rPr>
            <w:sz w:val="24"/>
          </w:rPr>
          <w:instrText xml:space="preserve"> PAGE   \* MERGEFORMAT </w:instrText>
        </w:r>
        <w:r w:rsidRPr="00D56518">
          <w:rPr>
            <w:sz w:val="24"/>
          </w:rPr>
          <w:fldChar w:fldCharType="separate"/>
        </w:r>
        <w:r w:rsidRPr="00D56518">
          <w:rPr>
            <w:noProof/>
            <w:sz w:val="24"/>
          </w:rPr>
          <w:t>2</w:t>
        </w:r>
        <w:r w:rsidRPr="00D56518">
          <w:rPr>
            <w:noProof/>
            <w:sz w:val="24"/>
          </w:rPr>
          <w:fldChar w:fldCharType="end"/>
        </w:r>
      </w:p>
    </w:sdtContent>
  </w:sdt>
  <w:p w14:paraId="0D3E55FA" w14:textId="77777777" w:rsidR="00D56518" w:rsidRDefault="00D565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0DED08F1" w14:textId="77777777" w:rsidR="00603A2C" w:rsidRDefault="00603A2C" w:rsidP="00603A2C">
        <w:pPr>
          <w:pStyle w:val="Footer"/>
          <w:pBdr>
            <w:top w:val="single" w:sz="4" w:space="1" w:color="005EB8"/>
          </w:pBdr>
        </w:pPr>
      </w:p>
      <w:p w14:paraId="597CC3E4"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D78C2" w14:textId="77777777" w:rsidR="00687FCF" w:rsidRDefault="00687FCF" w:rsidP="000C24AF">
      <w:r>
        <w:separator/>
      </w:r>
    </w:p>
  </w:footnote>
  <w:footnote w:type="continuationSeparator" w:id="0">
    <w:p w14:paraId="2AD6710C" w14:textId="77777777" w:rsidR="00687FCF" w:rsidRDefault="00687FCF" w:rsidP="000C24AF">
      <w:r>
        <w:continuationSeparator/>
      </w:r>
    </w:p>
  </w:footnote>
  <w:footnote w:type="continuationNotice" w:id="1">
    <w:p w14:paraId="5C415AF1" w14:textId="77777777" w:rsidR="00687FCF" w:rsidRDefault="00687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7ECB" w14:textId="77777777" w:rsidR="00F126B3" w:rsidRDefault="00F126B3" w:rsidP="00F126B3">
    <w:pPr>
      <w:pStyle w:val="Header"/>
      <w:pBdr>
        <w:bottom w:val="none" w:sz="0" w:space="0" w:color="auto"/>
      </w:pBdr>
    </w:pPr>
    <w:r w:rsidRPr="00DD3B24">
      <w:rPr>
        <w:noProof/>
      </w:rPr>
      <w:drawing>
        <wp:anchor distT="0" distB="0" distL="114300" distR="114300" simplePos="0" relativeHeight="251666432" behindDoc="1" locked="1" layoutInCell="1" allowOverlap="0" wp14:anchorId="3928BE24" wp14:editId="6B132AEA">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8FC8A7F" w14:textId="4D1BC627" w:rsidR="00F25CC7" w:rsidRPr="00F126B3" w:rsidRDefault="003A3B8C" w:rsidP="000718BA">
    <w:pPr>
      <w:pStyle w:val="Header"/>
      <w:pBdr>
        <w:bottom w:val="single" w:sz="4" w:space="4" w:color="auto"/>
      </w:pBdr>
    </w:pPr>
    <w:sdt>
      <w:sdtPr>
        <w:rPr>
          <w:sz w:val="22"/>
          <w:szCs w:val="22"/>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0718BA" w:rsidRPr="000718BA">
          <w:rPr>
            <w:sz w:val="22"/>
            <w:szCs w:val="22"/>
          </w:rPr>
          <w:t>Medical Education Standards &amp; Guidance for Learning Organisations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EDFC" w14:textId="6B8A0D1C" w:rsidR="00B72132" w:rsidRDefault="00724FF3" w:rsidP="00B72132">
    <w:pPr>
      <w:pStyle w:val="Header"/>
      <w:pBdr>
        <w:bottom w:val="none" w:sz="0" w:space="0" w:color="auto"/>
      </w:pBdr>
    </w:pPr>
    <w:r>
      <w:rPr>
        <w:noProof/>
      </w:rPr>
      <w:drawing>
        <wp:anchor distT="0" distB="0" distL="114300" distR="114300" simplePos="0" relativeHeight="251668480" behindDoc="0" locked="0" layoutInCell="1" allowOverlap="1" wp14:anchorId="7DD79D55" wp14:editId="2AF51620">
          <wp:simplePos x="0" y="0"/>
          <wp:positionH relativeFrom="margin">
            <wp:posOffset>4872990</wp:posOffset>
          </wp:positionH>
          <wp:positionV relativeFrom="paragraph">
            <wp:posOffset>-69215</wp:posOffset>
          </wp:positionV>
          <wp:extent cx="1628775" cy="1212215"/>
          <wp:effectExtent l="0" t="0" r="9525" b="6985"/>
          <wp:wrapNone/>
          <wp:docPr id="141311592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115927" name="Picture 1"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628775" cy="1212215"/>
                  </a:xfrm>
                  <a:prstGeom prst="rect">
                    <a:avLst/>
                  </a:prstGeom>
                  <a:noFill/>
                </pic:spPr>
              </pic:pic>
            </a:graphicData>
          </a:graphic>
          <wp14:sizeRelH relativeFrom="page">
            <wp14:pctWidth>0</wp14:pctWidth>
          </wp14:sizeRelH>
          <wp14:sizeRelV relativeFrom="page">
            <wp14:pctHeight>0</wp14:pctHeight>
          </wp14:sizeRelV>
        </wp:anchor>
      </w:drawing>
    </w:r>
  </w:p>
  <w:p w14:paraId="7ADDA752" w14:textId="77777777" w:rsidR="00B72132" w:rsidRDefault="00B72132" w:rsidP="00B72132">
    <w:pPr>
      <w:pStyle w:val="Header"/>
      <w:pBdr>
        <w:bottom w:val="none" w:sz="0" w:space="0" w:color="auto"/>
      </w:pBdr>
    </w:pPr>
  </w:p>
  <w:p w14:paraId="2468FFA2" w14:textId="77777777" w:rsidR="00B72132" w:rsidRPr="001D243C" w:rsidRDefault="00B72132" w:rsidP="00B72132">
    <w:pPr>
      <w:pStyle w:val="Header"/>
      <w:pBdr>
        <w:bottom w:val="none" w:sz="0" w:space="0" w:color="auto"/>
      </w:pBdr>
    </w:pPr>
  </w:p>
  <w:p w14:paraId="6B23B3A7"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F042" w14:textId="77777777" w:rsidR="00D56518" w:rsidRDefault="00D56518" w:rsidP="00D95BDD">
    <w:pPr>
      <w:pStyle w:val="Header"/>
    </w:pPr>
  </w:p>
  <w:p w14:paraId="15600B31" w14:textId="77777777" w:rsidR="00D56518" w:rsidRDefault="00D56518" w:rsidP="00D95BDD">
    <w:pPr>
      <w:pStyle w:val="Header"/>
    </w:pPr>
    <w:r>
      <w:tab/>
    </w:r>
  </w:p>
  <w:p w14:paraId="209A09E7" w14:textId="77777777" w:rsidR="00D56518" w:rsidRPr="00D95BDD" w:rsidRDefault="00D56518">
    <w:pPr>
      <w:pStyle w:val="Header"/>
      <w:rPr>
        <w:rFonts w:cs="Arial"/>
      </w:rPr>
    </w:pPr>
    <w:r w:rsidRPr="00FF2A73">
      <w:rPr>
        <w:rFonts w:cs="Arial"/>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1602"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54A855B3" wp14:editId="58EC9C6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7640C5D" w14:textId="4FA1449A" w:rsidR="00F126B3" w:rsidRPr="009F3A1D" w:rsidRDefault="003A3B8C" w:rsidP="00F126B3">
    <w:pPr>
      <w:pStyle w:val="Header"/>
      <w:pBdr>
        <w:bottom w:val="single" w:sz="4" w:space="4" w:color="auto"/>
      </w:pBdr>
      <w:rPr>
        <w:sz w:val="24"/>
      </w:rPr>
    </w:pPr>
    <w:sdt>
      <w:sdtPr>
        <w:alias w:val="Title"/>
        <w:tag w:val="title"/>
        <w:id w:val="-644359137"/>
        <w:placeholder>
          <w:docPart w:val="BFFD8875496045B0B9E9FA3EE64CD50E"/>
        </w:placeholder>
        <w:dataBinding w:prefixMappings="xmlns:ns0='http://purl.org/dc/elements/1.1/' xmlns:ns1='http://schemas.openxmlformats.org/package/2006/metadata/core-properties' " w:xpath="/ns1:coreProperties[1]/ns0:title[1]" w:storeItemID="{6C3C8BC8-F283-45AE-878A-BAB7291924A1}"/>
        <w:text/>
      </w:sdtPr>
      <w:sdtEndPr/>
      <w:sdtContent>
        <w:r w:rsidR="000718BA">
          <w:t>Medical Education Standards &amp; Guidance for Learning Organisations</w:t>
        </w:r>
      </w:sdtContent>
    </w:sdt>
  </w:p>
  <w:p w14:paraId="343B2A1F"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FC3"/>
    <w:multiLevelType w:val="hybridMultilevel"/>
    <w:tmpl w:val="0310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03436"/>
    <w:multiLevelType w:val="hybridMultilevel"/>
    <w:tmpl w:val="77E0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A66FA"/>
    <w:multiLevelType w:val="hybridMultilevel"/>
    <w:tmpl w:val="B440B260"/>
    <w:lvl w:ilvl="0" w:tplc="8B42D662">
      <w:start w:val="1"/>
      <w:numFmt w:val="bullet"/>
      <w:lvlText w:val="•"/>
      <w:lvlJc w:val="left"/>
      <w:pPr>
        <w:ind w:left="924"/>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1" w:tplc="F62C8BC6">
      <w:start w:val="1"/>
      <w:numFmt w:val="bullet"/>
      <w:lvlText w:val="o"/>
      <w:lvlJc w:val="left"/>
      <w:pPr>
        <w:ind w:left="1647"/>
      </w:pPr>
      <w:rPr>
        <w:rFonts w:ascii="Segoe UI Symbol" w:eastAsia="Segoe UI Symbol" w:hAnsi="Segoe UI Symbol" w:cs="Segoe UI Symbol"/>
        <w:b w:val="0"/>
        <w:i w:val="0"/>
        <w:strike w:val="0"/>
        <w:dstrike w:val="0"/>
        <w:color w:val="005EB8"/>
        <w:sz w:val="24"/>
        <w:szCs w:val="24"/>
        <w:u w:val="none" w:color="000000"/>
        <w:bdr w:val="none" w:sz="0" w:space="0" w:color="auto"/>
        <w:shd w:val="clear" w:color="auto" w:fill="auto"/>
        <w:vertAlign w:val="baseline"/>
      </w:rPr>
    </w:lvl>
    <w:lvl w:ilvl="2" w:tplc="C8E6B84E">
      <w:start w:val="1"/>
      <w:numFmt w:val="bullet"/>
      <w:lvlText w:val="▪"/>
      <w:lvlJc w:val="left"/>
      <w:pPr>
        <w:ind w:left="2367"/>
      </w:pPr>
      <w:rPr>
        <w:rFonts w:ascii="Segoe UI Symbol" w:eastAsia="Segoe UI Symbol" w:hAnsi="Segoe UI Symbol" w:cs="Segoe UI Symbol"/>
        <w:b w:val="0"/>
        <w:i w:val="0"/>
        <w:strike w:val="0"/>
        <w:dstrike w:val="0"/>
        <w:color w:val="005EB8"/>
        <w:sz w:val="24"/>
        <w:szCs w:val="24"/>
        <w:u w:val="none" w:color="000000"/>
        <w:bdr w:val="none" w:sz="0" w:space="0" w:color="auto"/>
        <w:shd w:val="clear" w:color="auto" w:fill="auto"/>
        <w:vertAlign w:val="baseline"/>
      </w:rPr>
    </w:lvl>
    <w:lvl w:ilvl="3" w:tplc="FABA46B2">
      <w:start w:val="1"/>
      <w:numFmt w:val="bullet"/>
      <w:lvlText w:val="•"/>
      <w:lvlJc w:val="left"/>
      <w:pPr>
        <w:ind w:left="3087"/>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4" w:tplc="AE4E7104">
      <w:start w:val="1"/>
      <w:numFmt w:val="bullet"/>
      <w:lvlText w:val="o"/>
      <w:lvlJc w:val="left"/>
      <w:pPr>
        <w:ind w:left="3807"/>
      </w:pPr>
      <w:rPr>
        <w:rFonts w:ascii="Segoe UI Symbol" w:eastAsia="Segoe UI Symbol" w:hAnsi="Segoe UI Symbol" w:cs="Segoe UI Symbol"/>
        <w:b w:val="0"/>
        <w:i w:val="0"/>
        <w:strike w:val="0"/>
        <w:dstrike w:val="0"/>
        <w:color w:val="005EB8"/>
        <w:sz w:val="24"/>
        <w:szCs w:val="24"/>
        <w:u w:val="none" w:color="000000"/>
        <w:bdr w:val="none" w:sz="0" w:space="0" w:color="auto"/>
        <w:shd w:val="clear" w:color="auto" w:fill="auto"/>
        <w:vertAlign w:val="baseline"/>
      </w:rPr>
    </w:lvl>
    <w:lvl w:ilvl="5" w:tplc="45846F0E">
      <w:start w:val="1"/>
      <w:numFmt w:val="bullet"/>
      <w:lvlText w:val="▪"/>
      <w:lvlJc w:val="left"/>
      <w:pPr>
        <w:ind w:left="4527"/>
      </w:pPr>
      <w:rPr>
        <w:rFonts w:ascii="Segoe UI Symbol" w:eastAsia="Segoe UI Symbol" w:hAnsi="Segoe UI Symbol" w:cs="Segoe UI Symbol"/>
        <w:b w:val="0"/>
        <w:i w:val="0"/>
        <w:strike w:val="0"/>
        <w:dstrike w:val="0"/>
        <w:color w:val="005EB8"/>
        <w:sz w:val="24"/>
        <w:szCs w:val="24"/>
        <w:u w:val="none" w:color="000000"/>
        <w:bdr w:val="none" w:sz="0" w:space="0" w:color="auto"/>
        <w:shd w:val="clear" w:color="auto" w:fill="auto"/>
        <w:vertAlign w:val="baseline"/>
      </w:rPr>
    </w:lvl>
    <w:lvl w:ilvl="6" w:tplc="C52E0596">
      <w:start w:val="1"/>
      <w:numFmt w:val="bullet"/>
      <w:lvlText w:val="•"/>
      <w:lvlJc w:val="left"/>
      <w:pPr>
        <w:ind w:left="5247"/>
      </w:pPr>
      <w:rPr>
        <w:rFonts w:ascii="Arial" w:eastAsia="Arial" w:hAnsi="Arial" w:cs="Arial"/>
        <w:b w:val="0"/>
        <w:i w:val="0"/>
        <w:strike w:val="0"/>
        <w:dstrike w:val="0"/>
        <w:color w:val="005EB8"/>
        <w:sz w:val="24"/>
        <w:szCs w:val="24"/>
        <w:u w:val="none" w:color="000000"/>
        <w:bdr w:val="none" w:sz="0" w:space="0" w:color="auto"/>
        <w:shd w:val="clear" w:color="auto" w:fill="auto"/>
        <w:vertAlign w:val="baseline"/>
      </w:rPr>
    </w:lvl>
    <w:lvl w:ilvl="7" w:tplc="9D3C72E4">
      <w:start w:val="1"/>
      <w:numFmt w:val="bullet"/>
      <w:lvlText w:val="o"/>
      <w:lvlJc w:val="left"/>
      <w:pPr>
        <w:ind w:left="5967"/>
      </w:pPr>
      <w:rPr>
        <w:rFonts w:ascii="Segoe UI Symbol" w:eastAsia="Segoe UI Symbol" w:hAnsi="Segoe UI Symbol" w:cs="Segoe UI Symbol"/>
        <w:b w:val="0"/>
        <w:i w:val="0"/>
        <w:strike w:val="0"/>
        <w:dstrike w:val="0"/>
        <w:color w:val="005EB8"/>
        <w:sz w:val="24"/>
        <w:szCs w:val="24"/>
        <w:u w:val="none" w:color="000000"/>
        <w:bdr w:val="none" w:sz="0" w:space="0" w:color="auto"/>
        <w:shd w:val="clear" w:color="auto" w:fill="auto"/>
        <w:vertAlign w:val="baseline"/>
      </w:rPr>
    </w:lvl>
    <w:lvl w:ilvl="8" w:tplc="1D8A894A">
      <w:start w:val="1"/>
      <w:numFmt w:val="bullet"/>
      <w:lvlText w:val="▪"/>
      <w:lvlJc w:val="left"/>
      <w:pPr>
        <w:ind w:left="6687"/>
      </w:pPr>
      <w:rPr>
        <w:rFonts w:ascii="Segoe UI Symbol" w:eastAsia="Segoe UI Symbol" w:hAnsi="Segoe UI Symbol" w:cs="Segoe UI Symbol"/>
        <w:b w:val="0"/>
        <w:i w:val="0"/>
        <w:strike w:val="0"/>
        <w:dstrike w:val="0"/>
        <w:color w:val="005EB8"/>
        <w:sz w:val="24"/>
        <w:szCs w:val="24"/>
        <w:u w:val="none" w:color="000000"/>
        <w:bdr w:val="none" w:sz="0" w:space="0" w:color="auto"/>
        <w:shd w:val="clear" w:color="auto" w:fill="auto"/>
        <w:vertAlign w:val="baseline"/>
      </w:rPr>
    </w:lvl>
  </w:abstractNum>
  <w:abstractNum w:abstractNumId="4" w15:restartNumberingAfterBreak="0">
    <w:nsid w:val="23DE4787"/>
    <w:multiLevelType w:val="hybridMultilevel"/>
    <w:tmpl w:val="AD94B290"/>
    <w:lvl w:ilvl="0" w:tplc="5E823758">
      <w:start w:val="1"/>
      <w:numFmt w:val="decimal"/>
      <w:lvlText w:val="%1."/>
      <w:lvlJc w:val="left"/>
      <w:pPr>
        <w:ind w:left="-200" w:hanging="360"/>
      </w:pPr>
      <w:rPr>
        <w:rFonts w:hint="default"/>
      </w:rPr>
    </w:lvl>
    <w:lvl w:ilvl="1" w:tplc="08090019" w:tentative="1">
      <w:start w:val="1"/>
      <w:numFmt w:val="lowerLetter"/>
      <w:lvlText w:val="%2."/>
      <w:lvlJc w:val="left"/>
      <w:pPr>
        <w:ind w:left="520" w:hanging="360"/>
      </w:pPr>
    </w:lvl>
    <w:lvl w:ilvl="2" w:tplc="0809001B" w:tentative="1">
      <w:start w:val="1"/>
      <w:numFmt w:val="lowerRoman"/>
      <w:lvlText w:val="%3."/>
      <w:lvlJc w:val="right"/>
      <w:pPr>
        <w:ind w:left="1240" w:hanging="180"/>
      </w:pPr>
    </w:lvl>
    <w:lvl w:ilvl="3" w:tplc="0809000F" w:tentative="1">
      <w:start w:val="1"/>
      <w:numFmt w:val="decimal"/>
      <w:lvlText w:val="%4."/>
      <w:lvlJc w:val="left"/>
      <w:pPr>
        <w:ind w:left="1960" w:hanging="360"/>
      </w:pPr>
    </w:lvl>
    <w:lvl w:ilvl="4" w:tplc="08090019" w:tentative="1">
      <w:start w:val="1"/>
      <w:numFmt w:val="lowerLetter"/>
      <w:lvlText w:val="%5."/>
      <w:lvlJc w:val="left"/>
      <w:pPr>
        <w:ind w:left="2680" w:hanging="360"/>
      </w:pPr>
    </w:lvl>
    <w:lvl w:ilvl="5" w:tplc="0809001B" w:tentative="1">
      <w:start w:val="1"/>
      <w:numFmt w:val="lowerRoman"/>
      <w:lvlText w:val="%6."/>
      <w:lvlJc w:val="right"/>
      <w:pPr>
        <w:ind w:left="3400" w:hanging="180"/>
      </w:pPr>
    </w:lvl>
    <w:lvl w:ilvl="6" w:tplc="0809000F" w:tentative="1">
      <w:start w:val="1"/>
      <w:numFmt w:val="decimal"/>
      <w:lvlText w:val="%7."/>
      <w:lvlJc w:val="left"/>
      <w:pPr>
        <w:ind w:left="4120" w:hanging="360"/>
      </w:pPr>
    </w:lvl>
    <w:lvl w:ilvl="7" w:tplc="08090019" w:tentative="1">
      <w:start w:val="1"/>
      <w:numFmt w:val="lowerLetter"/>
      <w:lvlText w:val="%8."/>
      <w:lvlJc w:val="left"/>
      <w:pPr>
        <w:ind w:left="4840" w:hanging="360"/>
      </w:pPr>
    </w:lvl>
    <w:lvl w:ilvl="8" w:tplc="0809001B" w:tentative="1">
      <w:start w:val="1"/>
      <w:numFmt w:val="lowerRoman"/>
      <w:lvlText w:val="%9."/>
      <w:lvlJc w:val="right"/>
      <w:pPr>
        <w:ind w:left="5560" w:hanging="180"/>
      </w:pPr>
    </w:lvl>
  </w:abstractNum>
  <w:abstractNum w:abstractNumId="5" w15:restartNumberingAfterBreak="0">
    <w:nsid w:val="27465C16"/>
    <w:multiLevelType w:val="hybridMultilevel"/>
    <w:tmpl w:val="DA78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541C1"/>
    <w:multiLevelType w:val="hybridMultilevel"/>
    <w:tmpl w:val="B972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80F12"/>
    <w:multiLevelType w:val="hybridMultilevel"/>
    <w:tmpl w:val="4470D95C"/>
    <w:lvl w:ilvl="0" w:tplc="69462E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1A39F1"/>
    <w:multiLevelType w:val="hybridMultilevel"/>
    <w:tmpl w:val="EFD0B4D2"/>
    <w:lvl w:ilvl="0" w:tplc="5E148FC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C7522D"/>
    <w:multiLevelType w:val="hybridMultilevel"/>
    <w:tmpl w:val="A4FA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B357C"/>
    <w:multiLevelType w:val="hybridMultilevel"/>
    <w:tmpl w:val="15A2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D20D1A"/>
    <w:multiLevelType w:val="hybridMultilevel"/>
    <w:tmpl w:val="B470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7"/>
  </w:num>
  <w:num w:numId="3" w16cid:durableId="570964709">
    <w:abstractNumId w:val="6"/>
  </w:num>
  <w:num w:numId="4" w16cid:durableId="244074725">
    <w:abstractNumId w:val="3"/>
  </w:num>
  <w:num w:numId="5" w16cid:durableId="1936285042">
    <w:abstractNumId w:val="4"/>
  </w:num>
  <w:num w:numId="6" w16cid:durableId="1969624046">
    <w:abstractNumId w:val="9"/>
  </w:num>
  <w:num w:numId="7" w16cid:durableId="1113356408">
    <w:abstractNumId w:val="10"/>
  </w:num>
  <w:num w:numId="8" w16cid:durableId="1540969693">
    <w:abstractNumId w:val="13"/>
  </w:num>
  <w:num w:numId="9" w16cid:durableId="1016350784">
    <w:abstractNumId w:val="1"/>
  </w:num>
  <w:num w:numId="10" w16cid:durableId="523596908">
    <w:abstractNumId w:val="2"/>
  </w:num>
  <w:num w:numId="11" w16cid:durableId="1430197824">
    <w:abstractNumId w:val="11"/>
  </w:num>
  <w:num w:numId="12" w16cid:durableId="1485316545">
    <w:abstractNumId w:val="5"/>
  </w:num>
  <w:num w:numId="13" w16cid:durableId="1948001991">
    <w:abstractNumId w:val="12"/>
  </w:num>
  <w:num w:numId="14" w16cid:durableId="103038048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F9"/>
    <w:rsid w:val="00000197"/>
    <w:rsid w:val="000005C7"/>
    <w:rsid w:val="00003CE4"/>
    <w:rsid w:val="00003EE8"/>
    <w:rsid w:val="0000416F"/>
    <w:rsid w:val="00006985"/>
    <w:rsid w:val="000108B8"/>
    <w:rsid w:val="0001164C"/>
    <w:rsid w:val="000271F6"/>
    <w:rsid w:val="0003185C"/>
    <w:rsid w:val="00031FD0"/>
    <w:rsid w:val="00043B3C"/>
    <w:rsid w:val="00055630"/>
    <w:rsid w:val="00061452"/>
    <w:rsid w:val="0006400B"/>
    <w:rsid w:val="000718BA"/>
    <w:rsid w:val="000733A2"/>
    <w:rsid w:val="0008313C"/>
    <w:rsid w:val="000863E2"/>
    <w:rsid w:val="000935A1"/>
    <w:rsid w:val="00095621"/>
    <w:rsid w:val="000A266D"/>
    <w:rsid w:val="000A64E4"/>
    <w:rsid w:val="000C2447"/>
    <w:rsid w:val="000C24AF"/>
    <w:rsid w:val="000D22EB"/>
    <w:rsid w:val="000D39C3"/>
    <w:rsid w:val="000D7B9A"/>
    <w:rsid w:val="000E2EBE"/>
    <w:rsid w:val="00101883"/>
    <w:rsid w:val="0010192E"/>
    <w:rsid w:val="00103F4D"/>
    <w:rsid w:val="0010592F"/>
    <w:rsid w:val="0011330B"/>
    <w:rsid w:val="00113EEC"/>
    <w:rsid w:val="00121A3A"/>
    <w:rsid w:val="00127C11"/>
    <w:rsid w:val="00134612"/>
    <w:rsid w:val="00140F9D"/>
    <w:rsid w:val="00141844"/>
    <w:rsid w:val="001716E5"/>
    <w:rsid w:val="00174E90"/>
    <w:rsid w:val="001816F3"/>
    <w:rsid w:val="0019592C"/>
    <w:rsid w:val="001A379E"/>
    <w:rsid w:val="001A6ACC"/>
    <w:rsid w:val="001C3565"/>
    <w:rsid w:val="001C5806"/>
    <w:rsid w:val="001C6937"/>
    <w:rsid w:val="001D243C"/>
    <w:rsid w:val="001E004E"/>
    <w:rsid w:val="001E27F8"/>
    <w:rsid w:val="001F3126"/>
    <w:rsid w:val="0022134A"/>
    <w:rsid w:val="0022596F"/>
    <w:rsid w:val="002365A0"/>
    <w:rsid w:val="00240B6E"/>
    <w:rsid w:val="00245FE3"/>
    <w:rsid w:val="00246075"/>
    <w:rsid w:val="00251B94"/>
    <w:rsid w:val="00270DAD"/>
    <w:rsid w:val="0028361E"/>
    <w:rsid w:val="002855F7"/>
    <w:rsid w:val="00294488"/>
    <w:rsid w:val="002A3F48"/>
    <w:rsid w:val="002A45CD"/>
    <w:rsid w:val="002B24BD"/>
    <w:rsid w:val="002B3BFD"/>
    <w:rsid w:val="002C0393"/>
    <w:rsid w:val="002C0816"/>
    <w:rsid w:val="002F45CE"/>
    <w:rsid w:val="002F7B8F"/>
    <w:rsid w:val="00302758"/>
    <w:rsid w:val="0033715E"/>
    <w:rsid w:val="0034439B"/>
    <w:rsid w:val="003444C7"/>
    <w:rsid w:val="0034560E"/>
    <w:rsid w:val="0035386A"/>
    <w:rsid w:val="0035464A"/>
    <w:rsid w:val="00355C51"/>
    <w:rsid w:val="003A3B8C"/>
    <w:rsid w:val="003A4B22"/>
    <w:rsid w:val="003A67C1"/>
    <w:rsid w:val="003B2686"/>
    <w:rsid w:val="003B6BB4"/>
    <w:rsid w:val="003D3A42"/>
    <w:rsid w:val="003E57B6"/>
    <w:rsid w:val="003F49F7"/>
    <w:rsid w:val="003F7B0C"/>
    <w:rsid w:val="00404248"/>
    <w:rsid w:val="00411D1D"/>
    <w:rsid w:val="00420E7F"/>
    <w:rsid w:val="00423FAF"/>
    <w:rsid w:val="00427636"/>
    <w:rsid w:val="00430131"/>
    <w:rsid w:val="0043794B"/>
    <w:rsid w:val="00443088"/>
    <w:rsid w:val="00447E51"/>
    <w:rsid w:val="00455A3F"/>
    <w:rsid w:val="00472D33"/>
    <w:rsid w:val="00486CB4"/>
    <w:rsid w:val="00491977"/>
    <w:rsid w:val="00497DE0"/>
    <w:rsid w:val="004A3DCD"/>
    <w:rsid w:val="004B41F2"/>
    <w:rsid w:val="004B626E"/>
    <w:rsid w:val="004C75CC"/>
    <w:rsid w:val="004D1703"/>
    <w:rsid w:val="004D6238"/>
    <w:rsid w:val="004D763F"/>
    <w:rsid w:val="004F0A67"/>
    <w:rsid w:val="004F1337"/>
    <w:rsid w:val="004F28CE"/>
    <w:rsid w:val="004F6303"/>
    <w:rsid w:val="005014AF"/>
    <w:rsid w:val="0050499F"/>
    <w:rsid w:val="005115A2"/>
    <w:rsid w:val="00512761"/>
    <w:rsid w:val="0052302B"/>
    <w:rsid w:val="0052756A"/>
    <w:rsid w:val="00534180"/>
    <w:rsid w:val="0053499D"/>
    <w:rsid w:val="00536CAA"/>
    <w:rsid w:val="00544C0C"/>
    <w:rsid w:val="005634F0"/>
    <w:rsid w:val="00577A42"/>
    <w:rsid w:val="0058121B"/>
    <w:rsid w:val="00584D6A"/>
    <w:rsid w:val="00590D21"/>
    <w:rsid w:val="005A3B89"/>
    <w:rsid w:val="005B6A12"/>
    <w:rsid w:val="005C068C"/>
    <w:rsid w:val="005C2644"/>
    <w:rsid w:val="005C3745"/>
    <w:rsid w:val="005D029E"/>
    <w:rsid w:val="005D4E5A"/>
    <w:rsid w:val="005D61B4"/>
    <w:rsid w:val="005E044E"/>
    <w:rsid w:val="005F0359"/>
    <w:rsid w:val="005F5758"/>
    <w:rsid w:val="00601DBA"/>
    <w:rsid w:val="00603A2C"/>
    <w:rsid w:val="006042B3"/>
    <w:rsid w:val="00613251"/>
    <w:rsid w:val="00614F79"/>
    <w:rsid w:val="00616632"/>
    <w:rsid w:val="00632043"/>
    <w:rsid w:val="0063502E"/>
    <w:rsid w:val="00651042"/>
    <w:rsid w:val="00654EE0"/>
    <w:rsid w:val="006679DE"/>
    <w:rsid w:val="00670835"/>
    <w:rsid w:val="00671B7A"/>
    <w:rsid w:val="00672717"/>
    <w:rsid w:val="00675E35"/>
    <w:rsid w:val="00684633"/>
    <w:rsid w:val="00687FCF"/>
    <w:rsid w:val="00691E45"/>
    <w:rsid w:val="00692041"/>
    <w:rsid w:val="00694FC4"/>
    <w:rsid w:val="006C7386"/>
    <w:rsid w:val="006D02E8"/>
    <w:rsid w:val="006E2FE7"/>
    <w:rsid w:val="006F37F0"/>
    <w:rsid w:val="00702B4D"/>
    <w:rsid w:val="00705989"/>
    <w:rsid w:val="00707E18"/>
    <w:rsid w:val="00710E40"/>
    <w:rsid w:val="0071497F"/>
    <w:rsid w:val="00723A85"/>
    <w:rsid w:val="00724FF3"/>
    <w:rsid w:val="0073429A"/>
    <w:rsid w:val="007375BC"/>
    <w:rsid w:val="00740573"/>
    <w:rsid w:val="00753953"/>
    <w:rsid w:val="00761E45"/>
    <w:rsid w:val="00763FA3"/>
    <w:rsid w:val="007663CB"/>
    <w:rsid w:val="00796E96"/>
    <w:rsid w:val="007A1D0E"/>
    <w:rsid w:val="007B62EE"/>
    <w:rsid w:val="007D1E52"/>
    <w:rsid w:val="007D6CEA"/>
    <w:rsid w:val="007E1512"/>
    <w:rsid w:val="007E4138"/>
    <w:rsid w:val="007E7AB0"/>
    <w:rsid w:val="007F5954"/>
    <w:rsid w:val="00801629"/>
    <w:rsid w:val="00811505"/>
    <w:rsid w:val="00811876"/>
    <w:rsid w:val="0081544B"/>
    <w:rsid w:val="00842D21"/>
    <w:rsid w:val="00853A57"/>
    <w:rsid w:val="00855D19"/>
    <w:rsid w:val="00856061"/>
    <w:rsid w:val="008625E8"/>
    <w:rsid w:val="00864885"/>
    <w:rsid w:val="00865B3E"/>
    <w:rsid w:val="008744B1"/>
    <w:rsid w:val="00880D4A"/>
    <w:rsid w:val="00897829"/>
    <w:rsid w:val="008A3E2F"/>
    <w:rsid w:val="008A66B2"/>
    <w:rsid w:val="008C7569"/>
    <w:rsid w:val="008D2816"/>
    <w:rsid w:val="008D50ED"/>
    <w:rsid w:val="008D5572"/>
    <w:rsid w:val="008D5953"/>
    <w:rsid w:val="008E2296"/>
    <w:rsid w:val="008F19E3"/>
    <w:rsid w:val="008F6069"/>
    <w:rsid w:val="00905552"/>
    <w:rsid w:val="00917854"/>
    <w:rsid w:val="00922AD1"/>
    <w:rsid w:val="00924CB4"/>
    <w:rsid w:val="0093170A"/>
    <w:rsid w:val="0094128E"/>
    <w:rsid w:val="00943EC5"/>
    <w:rsid w:val="00970C89"/>
    <w:rsid w:val="00987163"/>
    <w:rsid w:val="00990E1C"/>
    <w:rsid w:val="009A0001"/>
    <w:rsid w:val="009A26FC"/>
    <w:rsid w:val="009B0321"/>
    <w:rsid w:val="009B47EA"/>
    <w:rsid w:val="009B6565"/>
    <w:rsid w:val="009C27F0"/>
    <w:rsid w:val="009D24D4"/>
    <w:rsid w:val="009D3041"/>
    <w:rsid w:val="009F09FD"/>
    <w:rsid w:val="009F1650"/>
    <w:rsid w:val="009F4912"/>
    <w:rsid w:val="009F7412"/>
    <w:rsid w:val="00A02EEF"/>
    <w:rsid w:val="00A03469"/>
    <w:rsid w:val="00A124B9"/>
    <w:rsid w:val="00A24407"/>
    <w:rsid w:val="00A268E2"/>
    <w:rsid w:val="00A43654"/>
    <w:rsid w:val="00A646D7"/>
    <w:rsid w:val="00A65B18"/>
    <w:rsid w:val="00A66950"/>
    <w:rsid w:val="00A75B7E"/>
    <w:rsid w:val="00A812B3"/>
    <w:rsid w:val="00AA2F9E"/>
    <w:rsid w:val="00AB3248"/>
    <w:rsid w:val="00AB731C"/>
    <w:rsid w:val="00AC103C"/>
    <w:rsid w:val="00AC35F8"/>
    <w:rsid w:val="00AC7958"/>
    <w:rsid w:val="00AD13C4"/>
    <w:rsid w:val="00AE45DB"/>
    <w:rsid w:val="00AE554A"/>
    <w:rsid w:val="00AE6B55"/>
    <w:rsid w:val="00AF7217"/>
    <w:rsid w:val="00B0246A"/>
    <w:rsid w:val="00B0403B"/>
    <w:rsid w:val="00B051B5"/>
    <w:rsid w:val="00B177AF"/>
    <w:rsid w:val="00B44DD5"/>
    <w:rsid w:val="00B57496"/>
    <w:rsid w:val="00B67086"/>
    <w:rsid w:val="00B72132"/>
    <w:rsid w:val="00B738AB"/>
    <w:rsid w:val="00B7725C"/>
    <w:rsid w:val="00B77C41"/>
    <w:rsid w:val="00B81669"/>
    <w:rsid w:val="00B907B5"/>
    <w:rsid w:val="00BA6DA0"/>
    <w:rsid w:val="00BC294E"/>
    <w:rsid w:val="00BC5961"/>
    <w:rsid w:val="00BC5D6B"/>
    <w:rsid w:val="00BC5F53"/>
    <w:rsid w:val="00BC62B8"/>
    <w:rsid w:val="00BC78C6"/>
    <w:rsid w:val="00BE0046"/>
    <w:rsid w:val="00BE6447"/>
    <w:rsid w:val="00C01D97"/>
    <w:rsid w:val="00C021AB"/>
    <w:rsid w:val="00C0490E"/>
    <w:rsid w:val="00C07F6B"/>
    <w:rsid w:val="00C12E53"/>
    <w:rsid w:val="00C15176"/>
    <w:rsid w:val="00C177B2"/>
    <w:rsid w:val="00C2506B"/>
    <w:rsid w:val="00C37063"/>
    <w:rsid w:val="00C40AAB"/>
    <w:rsid w:val="00C4565F"/>
    <w:rsid w:val="00C4649E"/>
    <w:rsid w:val="00C52947"/>
    <w:rsid w:val="00C669E0"/>
    <w:rsid w:val="00C67367"/>
    <w:rsid w:val="00C846FE"/>
    <w:rsid w:val="00C85F4A"/>
    <w:rsid w:val="00C92413"/>
    <w:rsid w:val="00CA0FAC"/>
    <w:rsid w:val="00CA667A"/>
    <w:rsid w:val="00CC0229"/>
    <w:rsid w:val="00CC7B1C"/>
    <w:rsid w:val="00CD5860"/>
    <w:rsid w:val="00CD7B03"/>
    <w:rsid w:val="00CE086C"/>
    <w:rsid w:val="00CE22AB"/>
    <w:rsid w:val="00CF2071"/>
    <w:rsid w:val="00CF4C68"/>
    <w:rsid w:val="00CF7DA5"/>
    <w:rsid w:val="00D059C4"/>
    <w:rsid w:val="00D2315A"/>
    <w:rsid w:val="00D356F8"/>
    <w:rsid w:val="00D425F2"/>
    <w:rsid w:val="00D50FF0"/>
    <w:rsid w:val="00D56518"/>
    <w:rsid w:val="00D66537"/>
    <w:rsid w:val="00D82D45"/>
    <w:rsid w:val="00D92BBC"/>
    <w:rsid w:val="00D93D0D"/>
    <w:rsid w:val="00D95AC3"/>
    <w:rsid w:val="00DA5512"/>
    <w:rsid w:val="00DA589B"/>
    <w:rsid w:val="00DB77F2"/>
    <w:rsid w:val="00DC7A9D"/>
    <w:rsid w:val="00DD1729"/>
    <w:rsid w:val="00DD3B24"/>
    <w:rsid w:val="00DD77F0"/>
    <w:rsid w:val="00DD7C30"/>
    <w:rsid w:val="00DE3AB8"/>
    <w:rsid w:val="00DF4DBC"/>
    <w:rsid w:val="00E07DBB"/>
    <w:rsid w:val="00E375E0"/>
    <w:rsid w:val="00E45C31"/>
    <w:rsid w:val="00E510F4"/>
    <w:rsid w:val="00E5122E"/>
    <w:rsid w:val="00E5704B"/>
    <w:rsid w:val="00E85295"/>
    <w:rsid w:val="00E926AA"/>
    <w:rsid w:val="00EB1195"/>
    <w:rsid w:val="00EB4C88"/>
    <w:rsid w:val="00EB6372"/>
    <w:rsid w:val="00EC37E3"/>
    <w:rsid w:val="00EC5299"/>
    <w:rsid w:val="00ED3649"/>
    <w:rsid w:val="00EE0481"/>
    <w:rsid w:val="00F011B9"/>
    <w:rsid w:val="00F06F3B"/>
    <w:rsid w:val="00F126B3"/>
    <w:rsid w:val="00F13D85"/>
    <w:rsid w:val="00F21396"/>
    <w:rsid w:val="00F25CC7"/>
    <w:rsid w:val="00F261A5"/>
    <w:rsid w:val="00F268E7"/>
    <w:rsid w:val="00F42EB9"/>
    <w:rsid w:val="00F454BD"/>
    <w:rsid w:val="00F5109C"/>
    <w:rsid w:val="00F523E6"/>
    <w:rsid w:val="00F5718C"/>
    <w:rsid w:val="00F609E1"/>
    <w:rsid w:val="00F61204"/>
    <w:rsid w:val="00F64933"/>
    <w:rsid w:val="00F771D7"/>
    <w:rsid w:val="00F8486E"/>
    <w:rsid w:val="00F8709D"/>
    <w:rsid w:val="00F94E17"/>
    <w:rsid w:val="00FA30C8"/>
    <w:rsid w:val="00FA37F9"/>
    <w:rsid w:val="00FA4212"/>
    <w:rsid w:val="00FB4899"/>
    <w:rsid w:val="00FB4EB0"/>
    <w:rsid w:val="00FB75A6"/>
    <w:rsid w:val="00FC3342"/>
    <w:rsid w:val="00FD492F"/>
    <w:rsid w:val="00FD7EDB"/>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B14F8"/>
  <w15:docId w15:val="{5FD71E4C-F7EA-4C4D-A704-E6CF058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rPr>
      <w:rFonts w:ascii="Arial" w:hAnsi="Arial"/>
      <w:color w:val="000000"/>
      <w:sz w:val="24"/>
      <w:szCs w:val="24"/>
    </w:rPr>
  </w:style>
  <w:style w:type="paragraph" w:styleId="Heading1">
    <w:name w:val="heading 1"/>
    <w:next w:val="Normal"/>
    <w:link w:val="Heading1Char"/>
    <w:autoRedefine/>
    <w:uiPriority w:val="2"/>
    <w:semiHidden/>
    <w:rsid w:val="008A66B2"/>
    <w:pPr>
      <w:keepNext/>
      <w:jc w:val="center"/>
      <w:outlineLvl w:val="0"/>
    </w:pPr>
    <w:rPr>
      <w:rFonts w:ascii="Arial" w:hAnsi="Arial" w:cs="Arial"/>
      <w:b/>
      <w:bCs/>
      <w:color w:val="005EB8"/>
      <w:kern w:val="28"/>
      <w:sz w:val="28"/>
      <w:szCs w:val="28"/>
      <w:lang w:val="en-US"/>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8A66B2"/>
    <w:rPr>
      <w:rFonts w:ascii="Arial" w:hAnsi="Arial" w:cs="Arial"/>
      <w:b/>
      <w:bCs/>
      <w:color w:val="005EB8"/>
      <w:kern w:val="28"/>
      <w:sz w:val="28"/>
      <w:szCs w:val="28"/>
      <w:lang w:val="en-US"/>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lang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NormalWeb">
    <w:name w:val="Normal (Web)"/>
    <w:basedOn w:val="Normal"/>
    <w:uiPriority w:val="99"/>
    <w:unhideWhenUsed/>
    <w:rsid w:val="00D56518"/>
    <w:pPr>
      <w:spacing w:before="100" w:beforeAutospacing="1" w:after="100" w:afterAutospacing="1"/>
    </w:pPr>
    <w:rPr>
      <w:rFonts w:ascii="Times" w:eastAsiaTheme="minorEastAsia"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n.Wiles\Downloads\long%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FD8875496045B0B9E9FA3EE64CD50E"/>
        <w:category>
          <w:name w:val="General"/>
          <w:gallery w:val="placeholder"/>
        </w:category>
        <w:types>
          <w:type w:val="bbPlcHdr"/>
        </w:types>
        <w:behaviors>
          <w:behavior w:val="content"/>
        </w:behaviors>
        <w:guid w:val="{0A878861-A598-4BA6-8A83-F150FB9D289B}"/>
      </w:docPartPr>
      <w:docPartBody>
        <w:p w:rsidR="00201411" w:rsidRDefault="00A81B2C">
          <w:pPr>
            <w:pStyle w:val="BFFD8875496045B0B9E9FA3EE64CD50E"/>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1D"/>
    <w:rsid w:val="00086B1D"/>
    <w:rsid w:val="001E7965"/>
    <w:rsid w:val="00201411"/>
    <w:rsid w:val="00210EDF"/>
    <w:rsid w:val="004343D2"/>
    <w:rsid w:val="0050499F"/>
    <w:rsid w:val="00A81B2C"/>
    <w:rsid w:val="00B0403B"/>
    <w:rsid w:val="00CD7B03"/>
    <w:rsid w:val="00F011B9"/>
    <w:rsid w:val="00F7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FD8875496045B0B9E9FA3EE64CD50E">
    <w:name w:val="BFFD8875496045B0B9E9FA3EE64CD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9b8a32-81f2-4547-81a5-4c449cb8f34e">
      <Terms xmlns="http://schemas.microsoft.com/office/infopath/2007/PartnerControls"/>
    </lcf76f155ced4ddcb4097134ff3c332f>
    <TaxCatchAll xmlns="fa2d630c-0fd2-4162-ab45-db8c57f771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A6775755B70A40AD04FBCF93BAFDC3" ma:contentTypeVersion="18" ma:contentTypeDescription="Create a new document." ma:contentTypeScope="" ma:versionID="06f26bf157c70960b23d52cf63004e73">
  <xsd:schema xmlns:xsd="http://www.w3.org/2001/XMLSchema" xmlns:xs="http://www.w3.org/2001/XMLSchema" xmlns:p="http://schemas.microsoft.com/office/2006/metadata/properties" xmlns:ns2="429b8a32-81f2-4547-81a5-4c449cb8f34e" xmlns:ns3="fa2d630c-0fd2-4162-ab45-db8c57f77127" targetNamespace="http://schemas.microsoft.com/office/2006/metadata/properties" ma:root="true" ma:fieldsID="332e2a2078f7b6a2827af86dd3d033e2" ns2:_="" ns3:_="">
    <xsd:import namespace="429b8a32-81f2-4547-81a5-4c449cb8f34e"/>
    <xsd:import namespace="fa2d630c-0fd2-4162-ab45-db8c57f771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b8a32-81f2-4547-81a5-4c449cb8f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56eb34-f522-4dd7-978e-004015112c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d630c-0fd2-4162-ab45-db8c57f771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92038e-5080-4919-bbad-afad76df4383}" ma:internalName="TaxCatchAll" ma:showField="CatchAllData" ma:web="fa2d630c-0fd2-4162-ab45-db8c57f771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 ds:uri="http://schemas.microsoft.com/sharepoint/v3"/>
  </ds:schemaRefs>
</ds:datastoreItem>
</file>

<file path=customXml/itemProps4.xml><?xml version="1.0" encoding="utf-8"?>
<ds:datastoreItem xmlns:ds="http://schemas.openxmlformats.org/officeDocument/2006/customXml" ds:itemID="{267E37B7-6B90-4BB4-A133-E720B0123BCA}"/>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long document template</Template>
  <TotalTime>2</TotalTime>
  <Pages>5</Pages>
  <Words>1147</Words>
  <Characters>6543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Education Standards &amp; Guidance for Learning Organisations</dc:title>
  <dc:subject/>
  <dc:creator>Bethan Wiles</dc:creator>
  <cp:keywords/>
  <cp:lastModifiedBy>WILES, Bethan (NHS ENGLAND - T1510)</cp:lastModifiedBy>
  <cp:revision>2</cp:revision>
  <cp:lastPrinted>2016-07-14T17:27:00Z</cp:lastPrinted>
  <dcterms:created xsi:type="dcterms:W3CDTF">2024-12-02T08:22:00Z</dcterms:created>
  <dcterms:modified xsi:type="dcterms:W3CDTF">2024-12-02T08:22:00Z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0x010100A5A6775755B70A40AD04FBCF93BAFDC3</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