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67AA" w14:textId="32E4A563" w:rsidR="00071BF4" w:rsidRPr="00847E99" w:rsidRDefault="00071BF4" w:rsidP="00071BF4">
      <w:pPr>
        <w:rPr>
          <w:b/>
          <w:bCs/>
        </w:rPr>
      </w:pPr>
      <w:r w:rsidRPr="00847E99">
        <w:rPr>
          <w:b/>
          <w:bCs/>
        </w:rPr>
        <w:t>Frailty Education Lead – Job Description</w:t>
      </w:r>
    </w:p>
    <w:p w14:paraId="060ED741" w14:textId="77777777" w:rsidR="00071BF4" w:rsidRPr="00847E99" w:rsidRDefault="00071BF4" w:rsidP="00071BF4">
      <w:pPr>
        <w:rPr>
          <w:b/>
          <w:bCs/>
        </w:rPr>
      </w:pPr>
      <w:r w:rsidRPr="00847E99">
        <w:rPr>
          <w:b/>
          <w:bCs/>
        </w:rPr>
        <w:t>Role Title:</w:t>
      </w:r>
    </w:p>
    <w:p w14:paraId="02647AB6" w14:textId="6DC2E9E0" w:rsidR="00071BF4" w:rsidRPr="00847E99" w:rsidRDefault="00071BF4" w:rsidP="00071BF4">
      <w:r w:rsidRPr="00847E99">
        <w:t>Frailty Education Lead</w:t>
      </w:r>
    </w:p>
    <w:p w14:paraId="0AD869A5" w14:textId="117BF969" w:rsidR="00071BF4" w:rsidRPr="00847E99" w:rsidRDefault="00071BF4" w:rsidP="00071BF4">
      <w:r w:rsidRPr="00847E99">
        <w:t>C+P</w:t>
      </w:r>
      <w:r w:rsidRPr="00847E99">
        <w:rPr>
          <w:b/>
          <w:bCs/>
        </w:rPr>
        <w:t xml:space="preserve"> </w:t>
      </w:r>
      <w:r w:rsidRPr="00847E99">
        <w:t>Training Hub</w:t>
      </w:r>
    </w:p>
    <w:p w14:paraId="51565BE6" w14:textId="78E92F1E" w:rsidR="002044BF" w:rsidRPr="00847E99" w:rsidRDefault="002044BF" w:rsidP="00071BF4">
      <w:r w:rsidRPr="00847E99">
        <w:t>2 sessions per month (3.5 hours per session) at standard Training Hub clinician payrate.</w:t>
      </w:r>
    </w:p>
    <w:p w14:paraId="2392E70C" w14:textId="77777777" w:rsidR="00DE07A1" w:rsidRDefault="00DE07A1" w:rsidP="00071BF4">
      <w:pPr>
        <w:rPr>
          <w:b/>
          <w:bCs/>
        </w:rPr>
      </w:pPr>
    </w:p>
    <w:p w14:paraId="2B599F4E" w14:textId="6057CE51" w:rsidR="00071BF4" w:rsidRPr="00847E99" w:rsidRDefault="00071BF4" w:rsidP="00071BF4">
      <w:pPr>
        <w:rPr>
          <w:b/>
          <w:bCs/>
        </w:rPr>
      </w:pPr>
      <w:proofErr w:type="gramStart"/>
      <w:r w:rsidRPr="00847E99">
        <w:rPr>
          <w:b/>
          <w:bCs/>
        </w:rPr>
        <w:t>Overall</w:t>
      </w:r>
      <w:proofErr w:type="gramEnd"/>
      <w:r w:rsidRPr="00847E99">
        <w:rPr>
          <w:b/>
          <w:bCs/>
        </w:rPr>
        <w:t xml:space="preserve"> Purpose of the Role</w:t>
      </w:r>
    </w:p>
    <w:p w14:paraId="28414E4D" w14:textId="1B9708A1" w:rsidR="00071BF4" w:rsidRPr="00847E99" w:rsidRDefault="00071BF4" w:rsidP="00071BF4">
      <w:r w:rsidRPr="00847E99">
        <w:t>The Frailty Education Lead provides senior clinical and educational leadership for the development, delivery and evaluation of frailty</w:t>
      </w:r>
      <w:r w:rsidRPr="00847E99">
        <w:noBreakHyphen/>
        <w:t>focused education across Cambridgeshire &amp; Peterborough. The role ensures that frailty education is evidence</w:t>
      </w:r>
      <w:r w:rsidRPr="00847E99">
        <w:noBreakHyphen/>
        <w:t>based, multidisciplinary, system</w:t>
      </w:r>
      <w:r w:rsidRPr="00847E99">
        <w:noBreakHyphen/>
        <w:t>aligned and responsive to the needs of primary care, whilst aligned with local community services and the wider Integrated Care System (ICS).</w:t>
      </w:r>
    </w:p>
    <w:p w14:paraId="6C57320D" w14:textId="42597F3A" w:rsidR="00D92D58" w:rsidRPr="00847E99" w:rsidRDefault="00D92D58" w:rsidP="00071BF4">
      <w:r w:rsidRPr="00847E99">
        <w:rPr>
          <w:lang w:val="en-GB"/>
        </w:rPr>
        <w:t xml:space="preserve">As the number of people living with frailty continues to rise, this role is central to helping our workforce feel confident, connected and </w:t>
      </w:r>
      <w:r w:rsidR="00F542FB" w:rsidRPr="00847E99">
        <w:rPr>
          <w:lang w:val="en-GB"/>
        </w:rPr>
        <w:t>able to deliver high quality care</w:t>
      </w:r>
      <w:r w:rsidRPr="00847E99">
        <w:rPr>
          <w:lang w:val="en-GB"/>
        </w:rPr>
        <w:t xml:space="preserve">. </w:t>
      </w:r>
      <w:r w:rsidR="00F542FB" w:rsidRPr="00847E99">
        <w:rPr>
          <w:lang w:val="en-GB"/>
        </w:rPr>
        <w:t>The lead wil</w:t>
      </w:r>
      <w:r w:rsidRPr="00847E99">
        <w:rPr>
          <w:lang w:val="en-GB"/>
        </w:rPr>
        <w:t>l shape education that supports earlier identification, proactive care, and stronger multidisciplinary working</w:t>
      </w:r>
      <w:r w:rsidR="00F542FB" w:rsidRPr="00847E99">
        <w:rPr>
          <w:lang w:val="en-GB"/>
        </w:rPr>
        <w:t xml:space="preserve">, </w:t>
      </w:r>
      <w:r w:rsidRPr="00847E99">
        <w:rPr>
          <w:lang w:val="en-GB"/>
        </w:rPr>
        <w:t>helping teams deliver more personalised, join</w:t>
      </w:r>
      <w:r w:rsidR="00F542FB" w:rsidRPr="00847E99">
        <w:rPr>
          <w:lang w:val="en-GB"/>
        </w:rPr>
        <w:t>ed- up care for the frail patient population in Cambridgeshire and Peterborough</w:t>
      </w:r>
      <w:r w:rsidRPr="00847E99">
        <w:rPr>
          <w:lang w:val="en-GB"/>
        </w:rPr>
        <w:t>.</w:t>
      </w:r>
    </w:p>
    <w:p w14:paraId="6C65A714" w14:textId="7AC6DEE7" w:rsidR="00071BF4" w:rsidRPr="00847E99" w:rsidRDefault="00071BF4" w:rsidP="00071BF4">
      <w:r w:rsidRPr="00847E99">
        <w:t>The post holder will review evaluation data from</w:t>
      </w:r>
      <w:r w:rsidR="00F542FB" w:rsidRPr="00847E99">
        <w:t xml:space="preserve"> the</w:t>
      </w:r>
      <w:r w:rsidRPr="00847E99">
        <w:t xml:space="preserve"> previous piloted frailty education </w:t>
      </w:r>
      <w:proofErr w:type="spellStart"/>
      <w:r w:rsidRPr="00847E99">
        <w:t>programme</w:t>
      </w:r>
      <w:proofErr w:type="spellEnd"/>
      <w:r w:rsidRPr="00847E99">
        <w:t>, identify gaps and opportunities, and lead the design</w:t>
      </w:r>
      <w:r w:rsidR="00847E99">
        <w:t xml:space="preserve"> and delivery</w:t>
      </w:r>
      <w:r w:rsidRPr="00847E99">
        <w:t xml:space="preserve"> of future education offers that support GPs, nurses, ACPs and wider MDT colleagues. They will work closely with the Training Hub GP workstream and create links with system frailty leads, PCNs and community providers to </w:t>
      </w:r>
      <w:r w:rsidR="00F542FB" w:rsidRPr="00847E99">
        <w:t>develop</w:t>
      </w:r>
      <w:r w:rsidRPr="00847E99">
        <w:t xml:space="preserve"> a coherent, high</w:t>
      </w:r>
      <w:r w:rsidRPr="00847E99">
        <w:noBreakHyphen/>
        <w:t>quality and impactful frailty education strategy.</w:t>
      </w:r>
    </w:p>
    <w:p w14:paraId="12C79292" w14:textId="08564E9C" w:rsidR="00071BF4" w:rsidRPr="00847E99" w:rsidRDefault="00071BF4" w:rsidP="00071BF4">
      <w:r w:rsidRPr="00847E99">
        <w:t xml:space="preserve">This role is central to improving frailty care across the system by combining </w:t>
      </w:r>
      <w:r w:rsidRPr="00847E99">
        <w:rPr>
          <w:b/>
          <w:bCs/>
        </w:rPr>
        <w:t>clinical expertise, educational leadership and understanding of system wide offers and services</w:t>
      </w:r>
      <w:r w:rsidRPr="00847E99">
        <w:t>.</w:t>
      </w:r>
    </w:p>
    <w:p w14:paraId="0D4E9886" w14:textId="77777777" w:rsidR="00071BF4" w:rsidRPr="00847E99" w:rsidRDefault="00071BF4" w:rsidP="00071BF4">
      <w:pPr>
        <w:rPr>
          <w:b/>
          <w:bCs/>
        </w:rPr>
      </w:pPr>
      <w:r w:rsidRPr="00847E99">
        <w:rPr>
          <w:b/>
          <w:bCs/>
        </w:rPr>
        <w:t>Job Purpose</w:t>
      </w:r>
    </w:p>
    <w:p w14:paraId="1B3E09F9" w14:textId="77777777" w:rsidR="00071BF4" w:rsidRPr="00847E99" w:rsidRDefault="00071BF4" w:rsidP="00071BF4">
      <w:r w:rsidRPr="00847E99">
        <w:t>Cambridgeshire &amp; Peterborough Training Hub supports the development of the primary care workforce through high</w:t>
      </w:r>
      <w:r w:rsidRPr="00847E99">
        <w:noBreakHyphen/>
        <w:t>quality education, training and workforce initiatives. The GP Frailty Education Lead will:</w:t>
      </w:r>
    </w:p>
    <w:p w14:paraId="36115F43" w14:textId="6A916B67" w:rsidR="00071BF4" w:rsidRPr="00847E99" w:rsidRDefault="00071BF4" w:rsidP="003A0A3E">
      <w:pPr>
        <w:numPr>
          <w:ilvl w:val="0"/>
          <w:numId w:val="1"/>
        </w:numPr>
        <w:rPr>
          <w:lang w:val="en-GB"/>
        </w:rPr>
      </w:pPr>
      <w:r w:rsidRPr="00847E99">
        <w:lastRenderedPageBreak/>
        <w:t xml:space="preserve">Provide </w:t>
      </w:r>
      <w:r w:rsidRPr="00847E99">
        <w:rPr>
          <w:b/>
          <w:bCs/>
        </w:rPr>
        <w:t>clinical and educational leadership</w:t>
      </w:r>
      <w:r w:rsidRPr="00847E99">
        <w:t xml:space="preserve"> for frailty education to multi-disciplinary </w:t>
      </w:r>
      <w:r w:rsidR="00F542FB" w:rsidRPr="00847E99">
        <w:t xml:space="preserve">General Practice </w:t>
      </w:r>
      <w:r w:rsidRPr="00847E99">
        <w:t>staff in response to national and local priorities to strengthen frailty management within community settings</w:t>
      </w:r>
      <w:r w:rsidR="003A0A3E" w:rsidRPr="00847E99">
        <w:t xml:space="preserve"> </w:t>
      </w:r>
      <w:r w:rsidR="003A0A3E" w:rsidRPr="00847E99">
        <w:rPr>
          <w:lang w:val="en-GB"/>
        </w:rPr>
        <w:t>including the need for earlier identification and proactive management of frailty</w:t>
      </w:r>
      <w:r w:rsidRPr="00847E99">
        <w:t>.</w:t>
      </w:r>
    </w:p>
    <w:p w14:paraId="538063F5" w14:textId="016A3D35" w:rsidR="00071BF4" w:rsidRPr="00847E99" w:rsidRDefault="00071BF4" w:rsidP="00071BF4">
      <w:pPr>
        <w:numPr>
          <w:ilvl w:val="0"/>
          <w:numId w:val="1"/>
        </w:numPr>
      </w:pPr>
      <w:r w:rsidRPr="00847E99">
        <w:t xml:space="preserve">Review and interpret evaluation data from previous frailty </w:t>
      </w:r>
      <w:proofErr w:type="spellStart"/>
      <w:r w:rsidRPr="00847E99">
        <w:t>programmes</w:t>
      </w:r>
      <w:proofErr w:type="spellEnd"/>
      <w:r w:rsidRPr="00847E99">
        <w:t xml:space="preserve"> delivered locally and nationally to inform future planning.</w:t>
      </w:r>
    </w:p>
    <w:p w14:paraId="7F8786F1" w14:textId="24BE3766" w:rsidR="00071BF4" w:rsidRPr="00847E99" w:rsidRDefault="00071BF4" w:rsidP="00071BF4">
      <w:pPr>
        <w:numPr>
          <w:ilvl w:val="0"/>
          <w:numId w:val="1"/>
        </w:numPr>
      </w:pPr>
      <w:r w:rsidRPr="00847E99">
        <w:t>Design, develop and deliver</w:t>
      </w:r>
      <w:r w:rsidR="00F542FB" w:rsidRPr="00847E99">
        <w:t xml:space="preserve"> </w:t>
      </w:r>
      <w:r w:rsidRPr="00847E99">
        <w:rPr>
          <w:b/>
          <w:bCs/>
        </w:rPr>
        <w:t xml:space="preserve">multidisciplinary frailty education </w:t>
      </w:r>
      <w:proofErr w:type="spellStart"/>
      <w:r w:rsidRPr="00847E99">
        <w:rPr>
          <w:b/>
          <w:bCs/>
        </w:rPr>
        <w:t>programme</w:t>
      </w:r>
      <w:proofErr w:type="spellEnd"/>
      <w:r w:rsidRPr="00847E99">
        <w:t>, aligned to local need and priorities and national frailty frameworks.</w:t>
      </w:r>
    </w:p>
    <w:p w14:paraId="0D50BCB2" w14:textId="30600E3C" w:rsidR="00071BF4" w:rsidRPr="00847E99" w:rsidRDefault="00071BF4" w:rsidP="00071BF4">
      <w:pPr>
        <w:numPr>
          <w:ilvl w:val="0"/>
          <w:numId w:val="1"/>
        </w:numPr>
      </w:pPr>
      <w:r w:rsidRPr="00847E99">
        <w:t xml:space="preserve">Ensure frailty education is </w:t>
      </w:r>
      <w:r w:rsidRPr="00847E99">
        <w:rPr>
          <w:b/>
          <w:bCs/>
        </w:rPr>
        <w:t xml:space="preserve">integrated with wider Training Hub </w:t>
      </w:r>
      <w:proofErr w:type="spellStart"/>
      <w:r w:rsidRPr="00847E99">
        <w:rPr>
          <w:b/>
          <w:bCs/>
        </w:rPr>
        <w:t>programmes</w:t>
      </w:r>
      <w:proofErr w:type="spellEnd"/>
      <w:r w:rsidRPr="00847E99">
        <w:t xml:space="preserve">, including ACP development, </w:t>
      </w:r>
      <w:proofErr w:type="gramStart"/>
      <w:r w:rsidRPr="00847E99">
        <w:t>nurs</w:t>
      </w:r>
      <w:r w:rsidR="00E82798">
        <w:t>e</w:t>
      </w:r>
      <w:proofErr w:type="gramEnd"/>
      <w:r w:rsidRPr="00847E99">
        <w:t xml:space="preserve"> education and GP education offers. </w:t>
      </w:r>
    </w:p>
    <w:p w14:paraId="6D63B6ED" w14:textId="6A4CC364" w:rsidR="00071BF4" w:rsidRPr="00847E99" w:rsidRDefault="00071BF4" w:rsidP="00071BF4">
      <w:pPr>
        <w:numPr>
          <w:ilvl w:val="0"/>
          <w:numId w:val="1"/>
        </w:numPr>
      </w:pPr>
      <w:r w:rsidRPr="00847E99">
        <w:t xml:space="preserve">Work collaboratively with system frailty </w:t>
      </w:r>
      <w:proofErr w:type="gramStart"/>
      <w:r w:rsidRPr="00847E99">
        <w:t>leads,</w:t>
      </w:r>
      <w:proofErr w:type="gramEnd"/>
      <w:r w:rsidRPr="00847E99">
        <w:t xml:space="preserve"> PCNs and community partners to ensure better understanding of other local resources and services available.</w:t>
      </w:r>
    </w:p>
    <w:p w14:paraId="256DA021" w14:textId="77777777" w:rsidR="00071BF4" w:rsidRPr="00847E99" w:rsidRDefault="00071BF4" w:rsidP="00071BF4">
      <w:pPr>
        <w:numPr>
          <w:ilvl w:val="0"/>
          <w:numId w:val="1"/>
        </w:numPr>
      </w:pPr>
      <w:r w:rsidRPr="00847E99">
        <w:t>Promote best practice in frailty care and act as a credible clinical ambassador for frailty education.</w:t>
      </w:r>
    </w:p>
    <w:p w14:paraId="79A4D98B" w14:textId="79A32FBE" w:rsidR="00071BF4" w:rsidRPr="00847E99" w:rsidRDefault="00071BF4" w:rsidP="00071BF4">
      <w:pPr>
        <w:numPr>
          <w:ilvl w:val="0"/>
          <w:numId w:val="1"/>
        </w:numPr>
      </w:pPr>
      <w:r w:rsidRPr="00847E99">
        <w:t>Support governance, reporting and evaluation of frailty education</w:t>
      </w:r>
    </w:p>
    <w:p w14:paraId="46A210B2" w14:textId="77777777" w:rsidR="00DE07A1" w:rsidRDefault="00DE07A1" w:rsidP="00071BF4">
      <w:pPr>
        <w:rPr>
          <w:b/>
          <w:bCs/>
        </w:rPr>
      </w:pPr>
    </w:p>
    <w:p w14:paraId="443A953E" w14:textId="4FB750C2" w:rsidR="00071BF4" w:rsidRPr="00847E99" w:rsidRDefault="00071BF4" w:rsidP="00071BF4">
      <w:pPr>
        <w:rPr>
          <w:b/>
          <w:bCs/>
        </w:rPr>
      </w:pPr>
      <w:r w:rsidRPr="00847E99">
        <w:rPr>
          <w:b/>
          <w:bCs/>
        </w:rPr>
        <w:t xml:space="preserve">Main Duties and </w:t>
      </w:r>
      <w:proofErr w:type="spellStart"/>
      <w:r w:rsidRPr="00847E99">
        <w:rPr>
          <w:b/>
          <w:bCs/>
        </w:rPr>
        <w:t>Responsibiities</w:t>
      </w:r>
      <w:proofErr w:type="spellEnd"/>
    </w:p>
    <w:p w14:paraId="167C4D28" w14:textId="77777777" w:rsidR="00071BF4" w:rsidRPr="00847E99" w:rsidRDefault="00071BF4" w:rsidP="00071BF4">
      <w:pPr>
        <w:rPr>
          <w:b/>
          <w:bCs/>
        </w:rPr>
      </w:pPr>
      <w:r w:rsidRPr="00847E99">
        <w:rPr>
          <w:b/>
          <w:bCs/>
        </w:rPr>
        <w:t>Clinical &amp; Educational Leadership</w:t>
      </w:r>
    </w:p>
    <w:p w14:paraId="39A8C502" w14:textId="386ABDE4" w:rsidR="00071BF4" w:rsidRPr="00847E99" w:rsidRDefault="00071BF4" w:rsidP="00071BF4">
      <w:pPr>
        <w:numPr>
          <w:ilvl w:val="0"/>
          <w:numId w:val="2"/>
        </w:numPr>
      </w:pPr>
      <w:r w:rsidRPr="00847E99">
        <w:t xml:space="preserve">Provide leadership for the design, delivery and evaluation of frailty education </w:t>
      </w:r>
      <w:proofErr w:type="spellStart"/>
      <w:r w:rsidRPr="00847E99">
        <w:t>programmes</w:t>
      </w:r>
      <w:proofErr w:type="spellEnd"/>
      <w:r w:rsidR="007C3D41" w:rsidRPr="00847E99">
        <w:t>, intended to improve frailty knowledge and confidence in clinical practice, rather than develop specialist service clinicians.</w:t>
      </w:r>
    </w:p>
    <w:p w14:paraId="25D75F03" w14:textId="5FF2B31B" w:rsidR="004E604D" w:rsidRPr="00847E99" w:rsidRDefault="004E604D" w:rsidP="004E604D">
      <w:pPr>
        <w:pStyle w:val="ListParagraph"/>
        <w:numPr>
          <w:ilvl w:val="0"/>
          <w:numId w:val="2"/>
        </w:numPr>
        <w:spacing w:after="0" w:line="300" w:lineRule="atLeast"/>
        <w:rPr>
          <w:rFonts w:eastAsia="Times New Roman" w:cs="Segoe UI"/>
          <w:kern w:val="0"/>
          <w:lang w:val="en-GB" w:eastAsia="en-GB"/>
          <w14:ligatures w14:val="none"/>
        </w:rPr>
      </w:pPr>
      <w:r w:rsidRPr="00847E99">
        <w:rPr>
          <w:rFonts w:eastAsia="Times New Roman" w:cs="Segoe UI"/>
          <w:kern w:val="0"/>
          <w:lang w:val="en-GB" w:eastAsia="en-GB"/>
          <w14:ligatures w14:val="none"/>
        </w:rPr>
        <w:t>Support workforce capability to deliver proactive, coordinated care in line with local frailty priorities</w:t>
      </w:r>
      <w:r w:rsidR="0070474B" w:rsidRPr="00847E99">
        <w:rPr>
          <w:rFonts w:eastAsia="Times New Roman" w:cs="Segoe UI"/>
          <w:kern w:val="0"/>
          <w:lang w:val="en-GB" w:eastAsia="en-GB"/>
          <w14:ligatures w14:val="none"/>
        </w:rPr>
        <w:t xml:space="preserve">. </w:t>
      </w:r>
    </w:p>
    <w:p w14:paraId="55830EC4" w14:textId="77777777" w:rsidR="004E604D" w:rsidRPr="00847E99" w:rsidRDefault="004E604D" w:rsidP="004E604D">
      <w:pPr>
        <w:pStyle w:val="ListParagraph"/>
        <w:spacing w:after="0" w:line="300" w:lineRule="atLeast"/>
        <w:rPr>
          <w:rFonts w:ascii="Segoe UI" w:eastAsia="Times New Roman" w:hAnsi="Segoe UI" w:cs="Segoe UI"/>
          <w:kern w:val="0"/>
          <w:sz w:val="21"/>
          <w:szCs w:val="21"/>
          <w:lang w:val="en-GB" w:eastAsia="en-GB"/>
          <w14:ligatures w14:val="none"/>
        </w:rPr>
      </w:pPr>
    </w:p>
    <w:p w14:paraId="1A9AB086" w14:textId="10F3D8C3" w:rsidR="00071BF4" w:rsidRPr="00847E99" w:rsidRDefault="00071BF4" w:rsidP="00071BF4">
      <w:pPr>
        <w:numPr>
          <w:ilvl w:val="0"/>
          <w:numId w:val="2"/>
        </w:numPr>
      </w:pPr>
      <w:r w:rsidRPr="00847E99">
        <w:t xml:space="preserve">Ensure </w:t>
      </w:r>
      <w:proofErr w:type="spellStart"/>
      <w:r w:rsidRPr="00847E99">
        <w:t>programmes</w:t>
      </w:r>
      <w:proofErr w:type="spellEnd"/>
      <w:r w:rsidRPr="00847E99">
        <w:t xml:space="preserve"> reflect national guidance (e.g., NHS England frailty standards, CGA principles</w:t>
      </w:r>
      <w:r w:rsidR="007C3D41" w:rsidRPr="00847E99">
        <w:t xml:space="preserve">) </w:t>
      </w:r>
    </w:p>
    <w:p w14:paraId="67A28202" w14:textId="10D804AA" w:rsidR="00847E99" w:rsidRPr="00847E99" w:rsidRDefault="007C3D41" w:rsidP="00847E99">
      <w:pPr>
        <w:pStyle w:val="ListParagraph"/>
        <w:numPr>
          <w:ilvl w:val="0"/>
          <w:numId w:val="2"/>
        </w:numPr>
        <w:rPr>
          <w:b/>
          <w:bCs/>
        </w:rPr>
      </w:pPr>
      <w:r w:rsidRPr="00847E99">
        <w:t>Provide strong clinical education and facilitation skills to design and deliver high</w:t>
      </w:r>
      <w:r w:rsidRPr="00847E99">
        <w:noBreakHyphen/>
        <w:t>quality, engaging learning sessions for multidisciplinary audiences.</w:t>
      </w:r>
    </w:p>
    <w:p w14:paraId="556792FE" w14:textId="77777777" w:rsidR="00847E99" w:rsidRPr="00847E99" w:rsidRDefault="00847E99" w:rsidP="00847E99">
      <w:pPr>
        <w:pStyle w:val="ListParagraph"/>
        <w:rPr>
          <w:b/>
          <w:bCs/>
        </w:rPr>
      </w:pPr>
    </w:p>
    <w:p w14:paraId="09FE2E36" w14:textId="700EE6E4" w:rsidR="007C3D41" w:rsidRPr="00847E99" w:rsidRDefault="007C3D41" w:rsidP="007C3D41">
      <w:pPr>
        <w:pStyle w:val="ListParagraph"/>
        <w:numPr>
          <w:ilvl w:val="0"/>
          <w:numId w:val="2"/>
        </w:numPr>
        <w:rPr>
          <w:b/>
          <w:bCs/>
        </w:rPr>
      </w:pPr>
      <w:r w:rsidRPr="00847E99">
        <w:lastRenderedPageBreak/>
        <w:t xml:space="preserve">Curate teaching material and resources including </w:t>
      </w:r>
      <w:proofErr w:type="gramStart"/>
      <w:r w:rsidRPr="00847E99">
        <w:t>pre session</w:t>
      </w:r>
      <w:proofErr w:type="gramEnd"/>
      <w:r w:rsidRPr="00847E99">
        <w:t xml:space="preserve"> learning when required</w:t>
      </w:r>
    </w:p>
    <w:p w14:paraId="49F9AF64" w14:textId="6A4C60DC" w:rsidR="007C3D41" w:rsidRPr="00847E99" w:rsidRDefault="007C3D41" w:rsidP="007C3D41">
      <w:pPr>
        <w:pStyle w:val="ListParagraph"/>
        <w:numPr>
          <w:ilvl w:val="0"/>
          <w:numId w:val="2"/>
        </w:numPr>
        <w:rPr>
          <w:b/>
          <w:bCs/>
        </w:rPr>
      </w:pPr>
      <w:r w:rsidRPr="00847E99">
        <w:t xml:space="preserve">Source external speakers when required to enhance </w:t>
      </w:r>
      <w:proofErr w:type="spellStart"/>
      <w:r w:rsidRPr="00847E99">
        <w:t>programme</w:t>
      </w:r>
      <w:proofErr w:type="spellEnd"/>
      <w:r w:rsidRPr="00847E99">
        <w:t xml:space="preserve"> delivery and ensure intended learning outcomes are met. </w:t>
      </w:r>
    </w:p>
    <w:p w14:paraId="3F28D900" w14:textId="31738B96" w:rsidR="00071BF4" w:rsidRPr="00847E99" w:rsidRDefault="00071BF4" w:rsidP="007C3D41">
      <w:pPr>
        <w:rPr>
          <w:b/>
          <w:bCs/>
        </w:rPr>
      </w:pPr>
      <w:r w:rsidRPr="00847E99">
        <w:rPr>
          <w:b/>
          <w:bCs/>
        </w:rPr>
        <w:t>Programme Development &amp; Delivery</w:t>
      </w:r>
    </w:p>
    <w:p w14:paraId="1D19A660" w14:textId="77777777" w:rsidR="00071BF4" w:rsidRPr="00847E99" w:rsidRDefault="00071BF4" w:rsidP="00071BF4">
      <w:pPr>
        <w:numPr>
          <w:ilvl w:val="0"/>
          <w:numId w:val="3"/>
        </w:numPr>
      </w:pPr>
      <w:r w:rsidRPr="00847E99">
        <w:rPr>
          <w:b/>
          <w:bCs/>
        </w:rPr>
        <w:t>Review evaluation data</w:t>
      </w:r>
      <w:r w:rsidRPr="00847E99">
        <w:t xml:space="preserve"> from previous frailty education </w:t>
      </w:r>
      <w:proofErr w:type="spellStart"/>
      <w:r w:rsidRPr="00847E99">
        <w:t>programmes</w:t>
      </w:r>
      <w:proofErr w:type="spellEnd"/>
      <w:r w:rsidRPr="00847E99">
        <w:t xml:space="preserve"> and translate findings into future planning.</w:t>
      </w:r>
    </w:p>
    <w:p w14:paraId="7C106E63" w14:textId="77777777" w:rsidR="00071BF4" w:rsidRPr="00847E99" w:rsidRDefault="00071BF4" w:rsidP="00071BF4">
      <w:pPr>
        <w:numPr>
          <w:ilvl w:val="0"/>
          <w:numId w:val="3"/>
        </w:numPr>
      </w:pPr>
      <w:r w:rsidRPr="00847E99">
        <w:t xml:space="preserve">Design and deliver </w:t>
      </w:r>
      <w:r w:rsidRPr="00847E99">
        <w:rPr>
          <w:b/>
          <w:bCs/>
        </w:rPr>
        <w:t>multidisciplinary learning</w:t>
      </w:r>
      <w:r w:rsidRPr="00847E99">
        <w:t xml:space="preserve"> for GPs, nurses, AHPs, ACPs and wider MDT colleagues.</w:t>
      </w:r>
    </w:p>
    <w:p w14:paraId="1D67D10A" w14:textId="25AD15C9" w:rsidR="00071BF4" w:rsidRPr="00847E99" w:rsidRDefault="00071BF4" w:rsidP="00071BF4">
      <w:pPr>
        <w:numPr>
          <w:ilvl w:val="0"/>
          <w:numId w:val="3"/>
        </w:numPr>
      </w:pPr>
      <w:r w:rsidRPr="00847E99">
        <w:t xml:space="preserve">Develop blended learning approaches including </w:t>
      </w:r>
      <w:r w:rsidR="007C3D41" w:rsidRPr="00847E99">
        <w:t xml:space="preserve">pre learning materials and resources, webinar </w:t>
      </w:r>
      <w:r w:rsidRPr="00847E99">
        <w:t>workshops, case</w:t>
      </w:r>
      <w:r w:rsidRPr="00847E99">
        <w:noBreakHyphen/>
        <w:t>based learning</w:t>
      </w:r>
      <w:r w:rsidR="007C3D41" w:rsidRPr="00847E99">
        <w:t>, facilitation of external speaker sessions, signposting to further learning resources or opportunities</w:t>
      </w:r>
    </w:p>
    <w:p w14:paraId="32CB36E3" w14:textId="06BCA388" w:rsidR="00071BF4" w:rsidRPr="00847E99" w:rsidRDefault="00071BF4" w:rsidP="00071BF4">
      <w:pPr>
        <w:numPr>
          <w:ilvl w:val="0"/>
          <w:numId w:val="3"/>
        </w:numPr>
      </w:pPr>
      <w:r w:rsidRPr="00847E99">
        <w:t xml:space="preserve">Ensure </w:t>
      </w:r>
      <w:proofErr w:type="spellStart"/>
      <w:r w:rsidRPr="00847E99">
        <w:t>programmes</w:t>
      </w:r>
      <w:proofErr w:type="spellEnd"/>
      <w:r w:rsidRPr="00847E99">
        <w:t xml:space="preserve"> support early identification, proactive management and </w:t>
      </w:r>
      <w:proofErr w:type="spellStart"/>
      <w:r w:rsidRPr="00847E99">
        <w:t>personalised</w:t>
      </w:r>
      <w:proofErr w:type="spellEnd"/>
      <w:r w:rsidRPr="00847E99">
        <w:t xml:space="preserve"> care for people living with frailty</w:t>
      </w:r>
      <w:r w:rsidR="007C3D41" w:rsidRPr="00847E99">
        <w:t xml:space="preserve"> and </w:t>
      </w:r>
      <w:proofErr w:type="gramStart"/>
      <w:r w:rsidR="007C3D41" w:rsidRPr="00847E99">
        <w:t>is</w:t>
      </w:r>
      <w:proofErr w:type="gramEnd"/>
      <w:r w:rsidR="007C3D41" w:rsidRPr="00847E99">
        <w:t xml:space="preserve"> aligned with curriculum from Diploma </w:t>
      </w:r>
      <w:r w:rsidR="004C1BEB">
        <w:t>in Geriatric Medicine</w:t>
      </w:r>
      <w:r w:rsidR="003133CE">
        <w:t xml:space="preserve"> (DGM)</w:t>
      </w:r>
      <w:r w:rsidR="007C3D41" w:rsidRPr="00847E99">
        <w:t xml:space="preserve"> where appropriate for primary care.</w:t>
      </w:r>
    </w:p>
    <w:p w14:paraId="39057C88" w14:textId="77777777" w:rsidR="00071BF4" w:rsidRPr="00847E99" w:rsidRDefault="00071BF4" w:rsidP="00071BF4">
      <w:pPr>
        <w:rPr>
          <w:b/>
          <w:bCs/>
        </w:rPr>
      </w:pPr>
      <w:r w:rsidRPr="00847E99">
        <w:rPr>
          <w:b/>
          <w:bCs/>
        </w:rPr>
        <w:t>System Engagement &amp; Collaboration</w:t>
      </w:r>
    </w:p>
    <w:p w14:paraId="22872D9F" w14:textId="0DDA3EB3" w:rsidR="00071BF4" w:rsidRPr="00847E99" w:rsidRDefault="00071BF4" w:rsidP="00071BF4">
      <w:pPr>
        <w:numPr>
          <w:ilvl w:val="0"/>
          <w:numId w:val="4"/>
        </w:numPr>
      </w:pPr>
      <w:r w:rsidRPr="00847E99">
        <w:rPr>
          <w:b/>
          <w:bCs/>
        </w:rPr>
        <w:t>Work collaboratively</w:t>
      </w:r>
      <w:r w:rsidRPr="00847E99">
        <w:t xml:space="preserve"> with ICS frailty leads, PCNs, community providers and social care partners</w:t>
      </w:r>
      <w:r w:rsidR="007C3D41" w:rsidRPr="00847E99">
        <w:t xml:space="preserve"> where appropriate to ensure </w:t>
      </w:r>
      <w:r w:rsidR="00C606CE" w:rsidRPr="00847E99">
        <w:t xml:space="preserve">other opportunities are </w:t>
      </w:r>
      <w:proofErr w:type="gramStart"/>
      <w:r w:rsidR="00C606CE" w:rsidRPr="00847E99">
        <w:t>signposted to</w:t>
      </w:r>
      <w:proofErr w:type="gramEnd"/>
      <w:r w:rsidR="00C606CE" w:rsidRPr="00847E99">
        <w:t xml:space="preserve"> and new education </w:t>
      </w:r>
      <w:proofErr w:type="spellStart"/>
      <w:r w:rsidR="00C606CE" w:rsidRPr="00847E99">
        <w:t>programmes</w:t>
      </w:r>
      <w:proofErr w:type="spellEnd"/>
      <w:r w:rsidR="00C606CE" w:rsidRPr="00847E99">
        <w:t xml:space="preserve"> are visible and </w:t>
      </w:r>
      <w:proofErr w:type="spellStart"/>
      <w:r w:rsidR="00C606CE" w:rsidRPr="00847E99">
        <w:t>well integrated</w:t>
      </w:r>
      <w:proofErr w:type="spellEnd"/>
      <w:r w:rsidR="00C606CE" w:rsidRPr="00847E99">
        <w:t xml:space="preserve"> locally</w:t>
      </w:r>
    </w:p>
    <w:p w14:paraId="629489BB" w14:textId="77777777" w:rsidR="00071BF4" w:rsidRPr="00847E99" w:rsidRDefault="00071BF4" w:rsidP="00071BF4">
      <w:pPr>
        <w:numPr>
          <w:ilvl w:val="0"/>
          <w:numId w:val="4"/>
        </w:numPr>
      </w:pPr>
      <w:r w:rsidRPr="00847E99">
        <w:t>Represent the Training Hub at frailty</w:t>
      </w:r>
      <w:r w:rsidRPr="00847E99">
        <w:noBreakHyphen/>
        <w:t>related meetings, forums and working groups.</w:t>
      </w:r>
    </w:p>
    <w:p w14:paraId="4BDADCC3" w14:textId="77777777" w:rsidR="00071BF4" w:rsidRPr="00847E99" w:rsidRDefault="00071BF4" w:rsidP="00071BF4">
      <w:pPr>
        <w:rPr>
          <w:b/>
          <w:bCs/>
        </w:rPr>
      </w:pPr>
      <w:r w:rsidRPr="00847E99">
        <w:rPr>
          <w:b/>
          <w:bCs/>
        </w:rPr>
        <w:t>Communications &amp; Engagement</w:t>
      </w:r>
    </w:p>
    <w:p w14:paraId="2EF5AB7C" w14:textId="77777777" w:rsidR="00071BF4" w:rsidRPr="00847E99" w:rsidRDefault="00071BF4" w:rsidP="00071BF4">
      <w:pPr>
        <w:numPr>
          <w:ilvl w:val="0"/>
          <w:numId w:val="6"/>
        </w:numPr>
      </w:pPr>
      <w:r w:rsidRPr="00847E99">
        <w:t xml:space="preserve">Communicate </w:t>
      </w:r>
      <w:proofErr w:type="spellStart"/>
      <w:r w:rsidRPr="00847E99">
        <w:t>programme</w:t>
      </w:r>
      <w:proofErr w:type="spellEnd"/>
      <w:r w:rsidRPr="00847E99">
        <w:t xml:space="preserve"> aims, progress and impact clearly to stakeholders.</w:t>
      </w:r>
    </w:p>
    <w:p w14:paraId="483F7145" w14:textId="7C89EA8C" w:rsidR="00C606CE" w:rsidRPr="00847E99" w:rsidRDefault="00C606CE" w:rsidP="00071BF4">
      <w:pPr>
        <w:numPr>
          <w:ilvl w:val="0"/>
          <w:numId w:val="6"/>
        </w:numPr>
      </w:pPr>
      <w:r w:rsidRPr="00847E99">
        <w:t xml:space="preserve">Work closely with GP education team at the training </w:t>
      </w:r>
      <w:proofErr w:type="gramStart"/>
      <w:r w:rsidRPr="00847E99">
        <w:t>hub  for</w:t>
      </w:r>
      <w:proofErr w:type="gramEnd"/>
      <w:r w:rsidRPr="00847E99">
        <w:t xml:space="preserve"> support and alignment of frailty </w:t>
      </w:r>
      <w:proofErr w:type="spellStart"/>
      <w:r w:rsidRPr="00847E99">
        <w:t>programme</w:t>
      </w:r>
      <w:proofErr w:type="spellEnd"/>
      <w:r w:rsidRPr="00847E99">
        <w:t xml:space="preserve"> with other education and support offers.</w:t>
      </w:r>
    </w:p>
    <w:p w14:paraId="63D06B7F" w14:textId="77777777" w:rsidR="00071BF4" w:rsidRPr="00847E99" w:rsidRDefault="00071BF4" w:rsidP="00071BF4">
      <w:pPr>
        <w:numPr>
          <w:ilvl w:val="0"/>
          <w:numId w:val="9"/>
        </w:numPr>
      </w:pPr>
      <w:r w:rsidRPr="00847E99">
        <w:t>Provide leadership and support to colleagues contributing to frailty education.</w:t>
      </w:r>
    </w:p>
    <w:p w14:paraId="1522A1A9" w14:textId="77777777" w:rsidR="00071BF4" w:rsidRPr="00847E99" w:rsidRDefault="00071BF4" w:rsidP="00071BF4">
      <w:pPr>
        <w:numPr>
          <w:ilvl w:val="0"/>
          <w:numId w:val="10"/>
        </w:numPr>
      </w:pPr>
      <w:r w:rsidRPr="00847E99">
        <w:t>Support equality, diversity and inclusion commitments.</w:t>
      </w:r>
    </w:p>
    <w:p w14:paraId="66390855" w14:textId="77777777" w:rsidR="00DE07A1" w:rsidRDefault="00DE07A1" w:rsidP="00071BF4">
      <w:pPr>
        <w:rPr>
          <w:b/>
          <w:bCs/>
        </w:rPr>
      </w:pPr>
    </w:p>
    <w:p w14:paraId="1A779031" w14:textId="77777777" w:rsidR="00DE07A1" w:rsidRDefault="00DE07A1">
      <w:pPr>
        <w:rPr>
          <w:b/>
          <w:bCs/>
        </w:rPr>
      </w:pPr>
      <w:r>
        <w:rPr>
          <w:b/>
          <w:bCs/>
        </w:rPr>
        <w:br w:type="page"/>
      </w:r>
    </w:p>
    <w:p w14:paraId="4E1D5E24" w14:textId="20E43669" w:rsidR="00071BF4" w:rsidRPr="00847E99" w:rsidRDefault="00071BF4" w:rsidP="00071BF4">
      <w:pPr>
        <w:rPr>
          <w:b/>
          <w:bCs/>
        </w:rPr>
      </w:pPr>
      <w:r w:rsidRPr="00847E99">
        <w:rPr>
          <w:b/>
          <w:bCs/>
        </w:rPr>
        <w:lastRenderedPageBreak/>
        <w:t>Person Specification – GP Frailty Education Lead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4"/>
        <w:gridCol w:w="3482"/>
        <w:gridCol w:w="2539"/>
        <w:gridCol w:w="1475"/>
      </w:tblGrid>
      <w:tr w:rsidR="002044BF" w:rsidRPr="00847E99" w14:paraId="67CCEF86" w14:textId="77777777" w:rsidTr="00DE07A1">
        <w:trPr>
          <w:tblHeader/>
          <w:tblCellSpacing w:w="15" w:type="dxa"/>
        </w:trPr>
        <w:tc>
          <w:tcPr>
            <w:tcW w:w="0" w:type="auto"/>
            <w:vAlign w:val="center"/>
            <w:hideMark/>
          </w:tcPr>
          <w:p w14:paraId="57B17CAB" w14:textId="77777777" w:rsidR="00071BF4" w:rsidRPr="00847E99" w:rsidRDefault="00071BF4" w:rsidP="00071BF4">
            <w:pPr>
              <w:rPr>
                <w:b/>
                <w:bCs/>
              </w:rPr>
            </w:pPr>
            <w:r w:rsidRPr="00847E99">
              <w:rPr>
                <w:b/>
                <w:bCs/>
              </w:rPr>
              <w:t>Criteria</w:t>
            </w:r>
          </w:p>
        </w:tc>
        <w:tc>
          <w:tcPr>
            <w:tcW w:w="0" w:type="auto"/>
            <w:vAlign w:val="center"/>
            <w:hideMark/>
          </w:tcPr>
          <w:p w14:paraId="4F08940C" w14:textId="77777777" w:rsidR="00071BF4" w:rsidRPr="00847E99" w:rsidRDefault="00071BF4" w:rsidP="00071BF4">
            <w:pPr>
              <w:rPr>
                <w:b/>
                <w:bCs/>
              </w:rPr>
            </w:pPr>
            <w:r w:rsidRPr="00847E99">
              <w:rPr>
                <w:b/>
                <w:bCs/>
              </w:rPr>
              <w:t>Essential</w:t>
            </w:r>
          </w:p>
        </w:tc>
        <w:tc>
          <w:tcPr>
            <w:tcW w:w="0" w:type="auto"/>
            <w:vAlign w:val="center"/>
            <w:hideMark/>
          </w:tcPr>
          <w:p w14:paraId="172467BB" w14:textId="77777777" w:rsidR="00071BF4" w:rsidRPr="00847E99" w:rsidRDefault="00071BF4" w:rsidP="00071BF4">
            <w:pPr>
              <w:rPr>
                <w:b/>
                <w:bCs/>
              </w:rPr>
            </w:pPr>
            <w:r w:rsidRPr="00847E99">
              <w:rPr>
                <w:b/>
                <w:bCs/>
              </w:rPr>
              <w:t>Desirable</w:t>
            </w:r>
          </w:p>
        </w:tc>
        <w:tc>
          <w:tcPr>
            <w:tcW w:w="0" w:type="auto"/>
            <w:vAlign w:val="center"/>
            <w:hideMark/>
          </w:tcPr>
          <w:p w14:paraId="6AAC1C77" w14:textId="77777777" w:rsidR="00071BF4" w:rsidRPr="00847E99" w:rsidRDefault="00071BF4" w:rsidP="00071BF4">
            <w:pPr>
              <w:rPr>
                <w:b/>
                <w:bCs/>
              </w:rPr>
            </w:pPr>
            <w:r w:rsidRPr="00847E99">
              <w:rPr>
                <w:b/>
                <w:bCs/>
              </w:rPr>
              <w:t>Measure</w:t>
            </w:r>
          </w:p>
        </w:tc>
      </w:tr>
      <w:tr w:rsidR="002044BF" w:rsidRPr="00847E99" w14:paraId="14303600" w14:textId="77777777" w:rsidTr="00DE07A1">
        <w:trPr>
          <w:tblCellSpacing w:w="15" w:type="dxa"/>
        </w:trPr>
        <w:tc>
          <w:tcPr>
            <w:tcW w:w="0" w:type="auto"/>
            <w:vAlign w:val="center"/>
            <w:hideMark/>
          </w:tcPr>
          <w:p w14:paraId="3C0DCFE8" w14:textId="77777777" w:rsidR="00071BF4" w:rsidRPr="00847E99" w:rsidRDefault="00071BF4" w:rsidP="00071BF4">
            <w:r w:rsidRPr="00847E99">
              <w:rPr>
                <w:b/>
                <w:bCs/>
              </w:rPr>
              <w:t>Qualifications &amp; Training</w:t>
            </w:r>
          </w:p>
        </w:tc>
        <w:tc>
          <w:tcPr>
            <w:tcW w:w="0" w:type="auto"/>
            <w:vAlign w:val="center"/>
            <w:hideMark/>
          </w:tcPr>
          <w:p w14:paraId="78EDC428" w14:textId="17752E91" w:rsidR="00071BF4" w:rsidRPr="00847E99" w:rsidRDefault="00071BF4" w:rsidP="00071BF4">
            <w:r w:rsidRPr="00847E99">
              <w:t xml:space="preserve">Fully qualified GP or registered </w:t>
            </w:r>
            <w:r w:rsidR="004E3606">
              <w:t>Nurse</w:t>
            </w:r>
            <w:r w:rsidR="009E660D">
              <w:t xml:space="preserve"> / </w:t>
            </w:r>
            <w:proofErr w:type="gramStart"/>
            <w:r w:rsidR="009E660D">
              <w:t>AHP</w:t>
            </w:r>
            <w:r w:rsidR="00DF0104">
              <w:t xml:space="preserve"> </w:t>
            </w:r>
            <w:r w:rsidRPr="00847E99">
              <w:t>;</w:t>
            </w:r>
            <w:proofErr w:type="gramEnd"/>
            <w:r w:rsidRPr="00847E99">
              <w:t xml:space="preserve"> Experience in clinical or medical education; Evidence of ongoing CPD</w:t>
            </w:r>
          </w:p>
        </w:tc>
        <w:tc>
          <w:tcPr>
            <w:tcW w:w="0" w:type="auto"/>
            <w:vAlign w:val="center"/>
            <w:hideMark/>
          </w:tcPr>
          <w:p w14:paraId="548B1A4E" w14:textId="4CDA16B6" w:rsidR="00071BF4" w:rsidRPr="00847E99" w:rsidRDefault="00071BF4" w:rsidP="00071BF4">
            <w:r w:rsidRPr="00847E99">
              <w:t xml:space="preserve">Postgraduate qualification in medical education, frailty, geriatrics </w:t>
            </w:r>
            <w:r w:rsidR="00DF0104">
              <w:t>and /</w:t>
            </w:r>
            <w:r w:rsidRPr="00847E99">
              <w:t>or leadership</w:t>
            </w:r>
          </w:p>
        </w:tc>
        <w:tc>
          <w:tcPr>
            <w:tcW w:w="0" w:type="auto"/>
            <w:vAlign w:val="center"/>
            <w:hideMark/>
          </w:tcPr>
          <w:p w14:paraId="777D1233" w14:textId="77777777" w:rsidR="00071BF4" w:rsidRPr="00847E99" w:rsidRDefault="00071BF4" w:rsidP="00071BF4">
            <w:r w:rsidRPr="00847E99">
              <w:t>Application / Interview</w:t>
            </w:r>
          </w:p>
        </w:tc>
      </w:tr>
      <w:tr w:rsidR="002044BF" w:rsidRPr="00847E99" w14:paraId="1D21E60E" w14:textId="77777777" w:rsidTr="00DE07A1">
        <w:trPr>
          <w:tblCellSpacing w:w="15" w:type="dxa"/>
        </w:trPr>
        <w:tc>
          <w:tcPr>
            <w:tcW w:w="0" w:type="auto"/>
            <w:vAlign w:val="center"/>
            <w:hideMark/>
          </w:tcPr>
          <w:p w14:paraId="18946110" w14:textId="77777777" w:rsidR="00071BF4" w:rsidRPr="00847E99" w:rsidRDefault="00071BF4" w:rsidP="00071BF4">
            <w:r w:rsidRPr="00847E99">
              <w:rPr>
                <w:b/>
                <w:bCs/>
              </w:rPr>
              <w:t>Experience</w:t>
            </w:r>
          </w:p>
        </w:tc>
        <w:tc>
          <w:tcPr>
            <w:tcW w:w="0" w:type="auto"/>
            <w:vAlign w:val="center"/>
            <w:hideMark/>
          </w:tcPr>
          <w:p w14:paraId="0F5C6C18" w14:textId="21256A99" w:rsidR="00071BF4" w:rsidRPr="00847E99" w:rsidRDefault="002044BF" w:rsidP="00071BF4">
            <w:r w:rsidRPr="00847E99">
              <w:t xml:space="preserve">Currently working in clinical role in Cambridgeshire and Peterborough General practice. Minimum 3 sessions weekly. </w:t>
            </w:r>
            <w:r w:rsidR="00071BF4" w:rsidRPr="00847E99">
              <w:t xml:space="preserve">Experience delivering frailty care in primary or community settings; Experience working with MDTs; Experience evaluating </w:t>
            </w:r>
            <w:proofErr w:type="spellStart"/>
            <w:r w:rsidR="00071BF4" w:rsidRPr="00847E99">
              <w:t>programmes</w:t>
            </w:r>
            <w:proofErr w:type="spellEnd"/>
            <w:r w:rsidR="00071BF4" w:rsidRPr="00847E99">
              <w:t xml:space="preserve"> and using data to inform improvement</w:t>
            </w:r>
          </w:p>
        </w:tc>
        <w:tc>
          <w:tcPr>
            <w:tcW w:w="0" w:type="auto"/>
            <w:vAlign w:val="center"/>
            <w:hideMark/>
          </w:tcPr>
          <w:p w14:paraId="67ABA0EB" w14:textId="139A9998" w:rsidR="00071BF4" w:rsidRPr="00847E99" w:rsidRDefault="00071BF4" w:rsidP="00071BF4">
            <w:r w:rsidRPr="00847E99">
              <w:t>Experience working at system level; Experience delivering blended learning; Experience contributing to workforce development initiatives</w:t>
            </w:r>
            <w:r w:rsidR="00C606CE" w:rsidRPr="00847E99">
              <w:t xml:space="preserve">; Experience designing or delivering education </w:t>
            </w:r>
            <w:proofErr w:type="spellStart"/>
            <w:r w:rsidR="00C606CE" w:rsidRPr="00847E99">
              <w:t>programmes</w:t>
            </w:r>
            <w:proofErr w:type="spellEnd"/>
            <w:r w:rsidR="00C606CE" w:rsidRPr="00847E99">
              <w:t>;</w:t>
            </w:r>
          </w:p>
        </w:tc>
        <w:tc>
          <w:tcPr>
            <w:tcW w:w="0" w:type="auto"/>
            <w:vAlign w:val="center"/>
            <w:hideMark/>
          </w:tcPr>
          <w:p w14:paraId="3E494D29" w14:textId="77777777" w:rsidR="00071BF4" w:rsidRPr="00847E99" w:rsidRDefault="00071BF4" w:rsidP="00071BF4">
            <w:r w:rsidRPr="00847E99">
              <w:t>Application / Interview</w:t>
            </w:r>
          </w:p>
        </w:tc>
      </w:tr>
      <w:tr w:rsidR="002044BF" w:rsidRPr="00847E99" w14:paraId="273EB022" w14:textId="77777777" w:rsidTr="00DE07A1">
        <w:trPr>
          <w:tblCellSpacing w:w="15" w:type="dxa"/>
        </w:trPr>
        <w:tc>
          <w:tcPr>
            <w:tcW w:w="0" w:type="auto"/>
            <w:vAlign w:val="center"/>
            <w:hideMark/>
          </w:tcPr>
          <w:p w14:paraId="3883577E" w14:textId="77777777" w:rsidR="00071BF4" w:rsidRPr="00847E99" w:rsidRDefault="00071BF4" w:rsidP="00071BF4">
            <w:r w:rsidRPr="00847E99">
              <w:rPr>
                <w:b/>
                <w:bCs/>
              </w:rPr>
              <w:t>Skills &amp; Knowledge</w:t>
            </w:r>
          </w:p>
        </w:tc>
        <w:tc>
          <w:tcPr>
            <w:tcW w:w="0" w:type="auto"/>
            <w:vAlign w:val="center"/>
            <w:hideMark/>
          </w:tcPr>
          <w:p w14:paraId="21C03D4A" w14:textId="328FD942" w:rsidR="00071BF4" w:rsidRPr="00847E99" w:rsidRDefault="00071BF4" w:rsidP="00071BF4">
            <w:r w:rsidRPr="00847E99">
              <w:t xml:space="preserve">Strong understanding of frailty frameworks, CGA, </w:t>
            </w:r>
            <w:proofErr w:type="spellStart"/>
            <w:r w:rsidRPr="00847E99">
              <w:t>personalised</w:t>
            </w:r>
            <w:proofErr w:type="spellEnd"/>
            <w:r w:rsidRPr="00847E99">
              <w:t xml:space="preserve"> care; Knowledge of primary </w:t>
            </w:r>
            <w:r w:rsidR="008A4D6F">
              <w:t>a</w:t>
            </w:r>
            <w:r w:rsidR="003C6310">
              <w:t xml:space="preserve">nd community </w:t>
            </w:r>
            <w:r w:rsidRPr="00847E99">
              <w:t xml:space="preserve">care and ICS priorities; Ability to </w:t>
            </w:r>
            <w:proofErr w:type="spellStart"/>
            <w:r w:rsidRPr="00847E99">
              <w:t>analyse</w:t>
            </w:r>
            <w:proofErr w:type="spellEnd"/>
            <w:r w:rsidRPr="00847E99">
              <w:t xml:space="preserve"> evaluation data; Strong communication and influencing skills; Ability to design and deliver education for multidisciplinary groups</w:t>
            </w:r>
            <w:r w:rsidR="00C606CE" w:rsidRPr="00847E99">
              <w:t>; strong facilitation skills</w:t>
            </w:r>
          </w:p>
        </w:tc>
        <w:tc>
          <w:tcPr>
            <w:tcW w:w="0" w:type="auto"/>
            <w:vAlign w:val="center"/>
            <w:hideMark/>
          </w:tcPr>
          <w:p w14:paraId="66FC026B" w14:textId="42E662F6" w:rsidR="00071BF4" w:rsidRPr="00847E99" w:rsidRDefault="00071BF4" w:rsidP="00071BF4">
            <w:r w:rsidRPr="00847E99">
              <w:t xml:space="preserve">Experience leading innovative or pilot education </w:t>
            </w:r>
            <w:proofErr w:type="spellStart"/>
            <w:r w:rsidRPr="00847E99">
              <w:t>programmes</w:t>
            </w:r>
            <w:proofErr w:type="spellEnd"/>
            <w:r w:rsidRPr="00847E99">
              <w:t xml:space="preserve">; </w:t>
            </w:r>
          </w:p>
        </w:tc>
        <w:tc>
          <w:tcPr>
            <w:tcW w:w="0" w:type="auto"/>
            <w:vAlign w:val="center"/>
            <w:hideMark/>
          </w:tcPr>
          <w:p w14:paraId="6CF5A819" w14:textId="77777777" w:rsidR="00071BF4" w:rsidRPr="00847E99" w:rsidRDefault="00071BF4" w:rsidP="00071BF4">
            <w:r w:rsidRPr="00847E99">
              <w:t>Interview / Presentation</w:t>
            </w:r>
          </w:p>
        </w:tc>
      </w:tr>
      <w:tr w:rsidR="002044BF" w:rsidRPr="00847E99" w14:paraId="734507BC" w14:textId="77777777" w:rsidTr="00DE07A1">
        <w:trPr>
          <w:tblCellSpacing w:w="15" w:type="dxa"/>
        </w:trPr>
        <w:tc>
          <w:tcPr>
            <w:tcW w:w="0" w:type="auto"/>
            <w:vAlign w:val="center"/>
            <w:hideMark/>
          </w:tcPr>
          <w:p w14:paraId="2AF7D54E" w14:textId="77777777" w:rsidR="00071BF4" w:rsidRPr="00847E99" w:rsidRDefault="00071BF4" w:rsidP="00071BF4">
            <w:r w:rsidRPr="00847E99">
              <w:rPr>
                <w:b/>
                <w:bCs/>
              </w:rPr>
              <w:t>Personal Attributes</w:t>
            </w:r>
          </w:p>
        </w:tc>
        <w:tc>
          <w:tcPr>
            <w:tcW w:w="0" w:type="auto"/>
            <w:vAlign w:val="center"/>
            <w:hideMark/>
          </w:tcPr>
          <w:p w14:paraId="00BED9B9" w14:textId="77777777" w:rsidR="00071BF4" w:rsidRPr="00847E99" w:rsidRDefault="00071BF4" w:rsidP="00071BF4">
            <w:r w:rsidRPr="00847E99">
              <w:t xml:space="preserve">Proactive, </w:t>
            </w:r>
            <w:proofErr w:type="spellStart"/>
            <w:r w:rsidRPr="00847E99">
              <w:t>organised</w:t>
            </w:r>
            <w:proofErr w:type="spellEnd"/>
            <w:r w:rsidRPr="00847E99">
              <w:t xml:space="preserve">, collaborative; Clinically credible; Committed to improving frailty </w:t>
            </w:r>
            <w:r w:rsidRPr="00847E99">
              <w:lastRenderedPageBreak/>
              <w:t>care; Supportive and invested in developing others</w:t>
            </w:r>
          </w:p>
        </w:tc>
        <w:tc>
          <w:tcPr>
            <w:tcW w:w="0" w:type="auto"/>
            <w:vAlign w:val="center"/>
            <w:hideMark/>
          </w:tcPr>
          <w:p w14:paraId="34B32D27" w14:textId="77777777" w:rsidR="00071BF4" w:rsidRPr="00847E99" w:rsidRDefault="00071BF4" w:rsidP="00071BF4">
            <w:r w:rsidRPr="00847E99">
              <w:lastRenderedPageBreak/>
              <w:t>—</w:t>
            </w:r>
          </w:p>
        </w:tc>
        <w:tc>
          <w:tcPr>
            <w:tcW w:w="0" w:type="auto"/>
            <w:vAlign w:val="center"/>
            <w:hideMark/>
          </w:tcPr>
          <w:p w14:paraId="58D80BAE" w14:textId="77777777" w:rsidR="00071BF4" w:rsidRPr="00847E99" w:rsidRDefault="00071BF4" w:rsidP="00071BF4">
            <w:r w:rsidRPr="00847E99">
              <w:t>Interview</w:t>
            </w:r>
          </w:p>
        </w:tc>
      </w:tr>
      <w:tr w:rsidR="002044BF" w:rsidRPr="00847E99" w14:paraId="78DCA70E" w14:textId="77777777" w:rsidTr="00DE07A1">
        <w:trPr>
          <w:tblCellSpacing w:w="15" w:type="dxa"/>
        </w:trPr>
        <w:tc>
          <w:tcPr>
            <w:tcW w:w="0" w:type="auto"/>
            <w:vAlign w:val="center"/>
            <w:hideMark/>
          </w:tcPr>
          <w:p w14:paraId="3A46A0A6" w14:textId="77777777" w:rsidR="00071BF4" w:rsidRPr="00847E99" w:rsidRDefault="00071BF4" w:rsidP="00071BF4">
            <w:r w:rsidRPr="00847E99">
              <w:rPr>
                <w:b/>
                <w:bCs/>
              </w:rPr>
              <w:t>Professional Boundaries</w:t>
            </w:r>
          </w:p>
        </w:tc>
        <w:tc>
          <w:tcPr>
            <w:tcW w:w="0" w:type="auto"/>
            <w:vAlign w:val="center"/>
            <w:hideMark/>
          </w:tcPr>
          <w:p w14:paraId="428DC2C4" w14:textId="77777777" w:rsidR="00071BF4" w:rsidRPr="00847E99" w:rsidRDefault="00071BF4" w:rsidP="00071BF4">
            <w:r w:rsidRPr="00847E99">
              <w:t>Maintains high standards of confidentiality and governance; Works within professional scope</w:t>
            </w:r>
          </w:p>
        </w:tc>
        <w:tc>
          <w:tcPr>
            <w:tcW w:w="0" w:type="auto"/>
            <w:vAlign w:val="center"/>
            <w:hideMark/>
          </w:tcPr>
          <w:p w14:paraId="5375B776" w14:textId="77777777" w:rsidR="00071BF4" w:rsidRPr="00847E99" w:rsidRDefault="00071BF4" w:rsidP="00071BF4">
            <w:r w:rsidRPr="00847E99">
              <w:t>—</w:t>
            </w:r>
          </w:p>
        </w:tc>
        <w:tc>
          <w:tcPr>
            <w:tcW w:w="0" w:type="auto"/>
            <w:vAlign w:val="center"/>
            <w:hideMark/>
          </w:tcPr>
          <w:p w14:paraId="660C1709" w14:textId="77777777" w:rsidR="00071BF4" w:rsidRPr="00847E99" w:rsidRDefault="00071BF4" w:rsidP="00071BF4">
            <w:r w:rsidRPr="00847E99">
              <w:t>Application / Interview</w:t>
            </w:r>
          </w:p>
        </w:tc>
      </w:tr>
      <w:tr w:rsidR="002044BF" w:rsidRPr="00847E99" w14:paraId="1D416CFA" w14:textId="77777777" w:rsidTr="00DE07A1">
        <w:trPr>
          <w:tblCellSpacing w:w="15" w:type="dxa"/>
        </w:trPr>
        <w:tc>
          <w:tcPr>
            <w:tcW w:w="0" w:type="auto"/>
            <w:vAlign w:val="center"/>
            <w:hideMark/>
          </w:tcPr>
          <w:p w14:paraId="4401CEC7" w14:textId="77777777" w:rsidR="00071BF4" w:rsidRPr="00847E99" w:rsidRDefault="00071BF4" w:rsidP="00071BF4">
            <w:r w:rsidRPr="00847E99">
              <w:rPr>
                <w:b/>
                <w:bCs/>
              </w:rPr>
              <w:t>Self</w:t>
            </w:r>
            <w:r w:rsidRPr="00847E99">
              <w:rPr>
                <w:b/>
                <w:bCs/>
              </w:rPr>
              <w:noBreakHyphen/>
              <w:t>Awareness</w:t>
            </w:r>
          </w:p>
        </w:tc>
        <w:tc>
          <w:tcPr>
            <w:tcW w:w="0" w:type="auto"/>
            <w:vAlign w:val="center"/>
            <w:hideMark/>
          </w:tcPr>
          <w:p w14:paraId="14668A87" w14:textId="77777777" w:rsidR="00071BF4" w:rsidRPr="00847E99" w:rsidRDefault="00071BF4" w:rsidP="00071BF4">
            <w:r w:rsidRPr="00847E99">
              <w:t>Reflective, open to feedback, committed to development</w:t>
            </w:r>
          </w:p>
        </w:tc>
        <w:tc>
          <w:tcPr>
            <w:tcW w:w="0" w:type="auto"/>
            <w:vAlign w:val="center"/>
            <w:hideMark/>
          </w:tcPr>
          <w:p w14:paraId="3CDD158A" w14:textId="77777777" w:rsidR="00071BF4" w:rsidRPr="00847E99" w:rsidRDefault="00071BF4" w:rsidP="00071BF4">
            <w:r w:rsidRPr="00847E99">
              <w:t>—</w:t>
            </w:r>
          </w:p>
        </w:tc>
        <w:tc>
          <w:tcPr>
            <w:tcW w:w="0" w:type="auto"/>
            <w:vAlign w:val="center"/>
            <w:hideMark/>
          </w:tcPr>
          <w:p w14:paraId="08902754" w14:textId="77777777" w:rsidR="00071BF4" w:rsidRPr="00847E99" w:rsidRDefault="00071BF4" w:rsidP="00071BF4">
            <w:r w:rsidRPr="00847E99">
              <w:t>Interview</w:t>
            </w:r>
          </w:p>
        </w:tc>
      </w:tr>
    </w:tbl>
    <w:p w14:paraId="19B3429C" w14:textId="77777777" w:rsidR="00C606CE" w:rsidRPr="00847E99" w:rsidRDefault="00C606CE" w:rsidP="00071BF4"/>
    <w:p w14:paraId="19114EDC" w14:textId="77777777" w:rsidR="008515EF" w:rsidRDefault="008515EF"/>
    <w:sectPr w:rsidR="008515EF" w:rsidSect="00DE07A1">
      <w:headerReference w:type="default" r:id="rId11"/>
      <w:pgSz w:w="12240" w:h="15840"/>
      <w:pgMar w:top="2268"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6827" w14:textId="77777777" w:rsidR="005D45BA" w:rsidRDefault="005D45BA" w:rsidP="00555D17">
      <w:pPr>
        <w:spacing w:after="0" w:line="240" w:lineRule="auto"/>
      </w:pPr>
      <w:r>
        <w:separator/>
      </w:r>
    </w:p>
  </w:endnote>
  <w:endnote w:type="continuationSeparator" w:id="0">
    <w:p w14:paraId="0496BAF3" w14:textId="77777777" w:rsidR="005D45BA" w:rsidRDefault="005D45BA" w:rsidP="0055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2730" w14:textId="77777777" w:rsidR="005D45BA" w:rsidRDefault="005D45BA" w:rsidP="00555D17">
      <w:pPr>
        <w:spacing w:after="0" w:line="240" w:lineRule="auto"/>
      </w:pPr>
      <w:r>
        <w:separator/>
      </w:r>
    </w:p>
  </w:footnote>
  <w:footnote w:type="continuationSeparator" w:id="0">
    <w:p w14:paraId="03044D68" w14:textId="77777777" w:rsidR="005D45BA" w:rsidRDefault="005D45BA" w:rsidP="0055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750C" w14:textId="4A370A51" w:rsidR="00555D17" w:rsidRDefault="00555D17" w:rsidP="00555D17">
    <w:pPr>
      <w:pStyle w:val="Header"/>
      <w:jc w:val="center"/>
    </w:pPr>
    <w:r>
      <w:rPr>
        <w:noProof/>
      </w:rPr>
      <w:drawing>
        <wp:inline distT="0" distB="0" distL="0" distR="0" wp14:anchorId="647A5A5F" wp14:editId="6ACCB48A">
          <wp:extent cx="1704975" cy="895350"/>
          <wp:effectExtent l="0" t="0" r="9525" b="0"/>
          <wp:docPr id="1911722532" name="Picture 1" desc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17B"/>
    <w:multiLevelType w:val="multilevel"/>
    <w:tmpl w:val="BE0E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1779A"/>
    <w:multiLevelType w:val="multilevel"/>
    <w:tmpl w:val="3A2E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440F5"/>
    <w:multiLevelType w:val="multilevel"/>
    <w:tmpl w:val="94B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60FDC"/>
    <w:multiLevelType w:val="multilevel"/>
    <w:tmpl w:val="2A9E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6478"/>
    <w:multiLevelType w:val="multilevel"/>
    <w:tmpl w:val="421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BB6"/>
    <w:multiLevelType w:val="multilevel"/>
    <w:tmpl w:val="1E3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0159A"/>
    <w:multiLevelType w:val="multilevel"/>
    <w:tmpl w:val="CE62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635E3"/>
    <w:multiLevelType w:val="multilevel"/>
    <w:tmpl w:val="07F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25B80"/>
    <w:multiLevelType w:val="multilevel"/>
    <w:tmpl w:val="EDE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A250B"/>
    <w:multiLevelType w:val="multilevel"/>
    <w:tmpl w:val="C1AC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50826"/>
    <w:multiLevelType w:val="multilevel"/>
    <w:tmpl w:val="7C3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A27FD"/>
    <w:multiLevelType w:val="multilevel"/>
    <w:tmpl w:val="B1B4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667A0"/>
    <w:multiLevelType w:val="multilevel"/>
    <w:tmpl w:val="496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72CC7"/>
    <w:multiLevelType w:val="multilevel"/>
    <w:tmpl w:val="332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95839"/>
    <w:multiLevelType w:val="multilevel"/>
    <w:tmpl w:val="7D3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09221">
    <w:abstractNumId w:val="14"/>
  </w:num>
  <w:num w:numId="2" w16cid:durableId="2022538463">
    <w:abstractNumId w:val="4"/>
  </w:num>
  <w:num w:numId="3" w16cid:durableId="1062294080">
    <w:abstractNumId w:val="12"/>
  </w:num>
  <w:num w:numId="4" w16cid:durableId="1418478528">
    <w:abstractNumId w:val="6"/>
  </w:num>
  <w:num w:numId="5" w16cid:durableId="459689665">
    <w:abstractNumId w:val="10"/>
  </w:num>
  <w:num w:numId="6" w16cid:durableId="1128550647">
    <w:abstractNumId w:val="5"/>
  </w:num>
  <w:num w:numId="7" w16cid:durableId="2021930431">
    <w:abstractNumId w:val="13"/>
  </w:num>
  <w:num w:numId="8" w16cid:durableId="529605859">
    <w:abstractNumId w:val="2"/>
  </w:num>
  <w:num w:numId="9" w16cid:durableId="1403599204">
    <w:abstractNumId w:val="11"/>
  </w:num>
  <w:num w:numId="10" w16cid:durableId="1296256745">
    <w:abstractNumId w:val="0"/>
  </w:num>
  <w:num w:numId="11" w16cid:durableId="1434475464">
    <w:abstractNumId w:val="9"/>
  </w:num>
  <w:num w:numId="12" w16cid:durableId="1218668243">
    <w:abstractNumId w:val="8"/>
  </w:num>
  <w:num w:numId="13" w16cid:durableId="254435429">
    <w:abstractNumId w:val="1"/>
  </w:num>
  <w:num w:numId="14" w16cid:durableId="1432775116">
    <w:abstractNumId w:val="7"/>
  </w:num>
  <w:num w:numId="15" w16cid:durableId="1460340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F4"/>
    <w:rsid w:val="00071BF4"/>
    <w:rsid w:val="000D68BA"/>
    <w:rsid w:val="001A4778"/>
    <w:rsid w:val="001A4918"/>
    <w:rsid w:val="002044BF"/>
    <w:rsid w:val="00206432"/>
    <w:rsid w:val="002C163E"/>
    <w:rsid w:val="003133CE"/>
    <w:rsid w:val="00352F17"/>
    <w:rsid w:val="003A0A3E"/>
    <w:rsid w:val="003C6310"/>
    <w:rsid w:val="003F66A7"/>
    <w:rsid w:val="004477C4"/>
    <w:rsid w:val="00455CE6"/>
    <w:rsid w:val="004C1BEB"/>
    <w:rsid w:val="004E3606"/>
    <w:rsid w:val="004E604D"/>
    <w:rsid w:val="00507F9E"/>
    <w:rsid w:val="005147E9"/>
    <w:rsid w:val="00516756"/>
    <w:rsid w:val="00555D17"/>
    <w:rsid w:val="005837D3"/>
    <w:rsid w:val="005950B0"/>
    <w:rsid w:val="005B184C"/>
    <w:rsid w:val="005D45BA"/>
    <w:rsid w:val="00623588"/>
    <w:rsid w:val="006E43B3"/>
    <w:rsid w:val="006F4129"/>
    <w:rsid w:val="00701321"/>
    <w:rsid w:val="0070474B"/>
    <w:rsid w:val="007C2A19"/>
    <w:rsid w:val="007C3D41"/>
    <w:rsid w:val="007F6FB5"/>
    <w:rsid w:val="00847E99"/>
    <w:rsid w:val="008515EF"/>
    <w:rsid w:val="00854C7C"/>
    <w:rsid w:val="008A4D6F"/>
    <w:rsid w:val="008C5401"/>
    <w:rsid w:val="00946D4D"/>
    <w:rsid w:val="009E660D"/>
    <w:rsid w:val="00BB7B26"/>
    <w:rsid w:val="00C23029"/>
    <w:rsid w:val="00C27962"/>
    <w:rsid w:val="00C606CE"/>
    <w:rsid w:val="00D37BAD"/>
    <w:rsid w:val="00D92D58"/>
    <w:rsid w:val="00DA0A6B"/>
    <w:rsid w:val="00DD68B6"/>
    <w:rsid w:val="00DE07A1"/>
    <w:rsid w:val="00DF0104"/>
    <w:rsid w:val="00E82798"/>
    <w:rsid w:val="00F13A2C"/>
    <w:rsid w:val="00F5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3910"/>
  <w15:chartTrackingRefBased/>
  <w15:docId w15:val="{B66F895F-A486-4B9F-9357-3EC1EA0B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BF4"/>
    <w:rPr>
      <w:rFonts w:eastAsiaTheme="majorEastAsia" w:cstheme="majorBidi"/>
      <w:color w:val="272727" w:themeColor="text1" w:themeTint="D8"/>
    </w:rPr>
  </w:style>
  <w:style w:type="paragraph" w:styleId="Title">
    <w:name w:val="Title"/>
    <w:basedOn w:val="Normal"/>
    <w:next w:val="Normal"/>
    <w:link w:val="TitleChar"/>
    <w:uiPriority w:val="10"/>
    <w:qFormat/>
    <w:rsid w:val="00071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BF4"/>
    <w:pPr>
      <w:spacing w:before="160"/>
      <w:jc w:val="center"/>
    </w:pPr>
    <w:rPr>
      <w:i/>
      <w:iCs/>
      <w:color w:val="404040" w:themeColor="text1" w:themeTint="BF"/>
    </w:rPr>
  </w:style>
  <w:style w:type="character" w:customStyle="1" w:styleId="QuoteChar">
    <w:name w:val="Quote Char"/>
    <w:basedOn w:val="DefaultParagraphFont"/>
    <w:link w:val="Quote"/>
    <w:uiPriority w:val="29"/>
    <w:rsid w:val="00071BF4"/>
    <w:rPr>
      <w:i/>
      <w:iCs/>
      <w:color w:val="404040" w:themeColor="text1" w:themeTint="BF"/>
    </w:rPr>
  </w:style>
  <w:style w:type="paragraph" w:styleId="ListParagraph">
    <w:name w:val="List Paragraph"/>
    <w:basedOn w:val="Normal"/>
    <w:uiPriority w:val="34"/>
    <w:qFormat/>
    <w:rsid w:val="00071BF4"/>
    <w:pPr>
      <w:ind w:left="720"/>
      <w:contextualSpacing/>
    </w:pPr>
  </w:style>
  <w:style w:type="character" w:styleId="IntenseEmphasis">
    <w:name w:val="Intense Emphasis"/>
    <w:basedOn w:val="DefaultParagraphFont"/>
    <w:uiPriority w:val="21"/>
    <w:qFormat/>
    <w:rsid w:val="00071BF4"/>
    <w:rPr>
      <w:i/>
      <w:iCs/>
      <w:color w:val="0F4761" w:themeColor="accent1" w:themeShade="BF"/>
    </w:rPr>
  </w:style>
  <w:style w:type="paragraph" w:styleId="IntenseQuote">
    <w:name w:val="Intense Quote"/>
    <w:basedOn w:val="Normal"/>
    <w:next w:val="Normal"/>
    <w:link w:val="IntenseQuoteChar"/>
    <w:uiPriority w:val="30"/>
    <w:qFormat/>
    <w:rsid w:val="00071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BF4"/>
    <w:rPr>
      <w:i/>
      <w:iCs/>
      <w:color w:val="0F4761" w:themeColor="accent1" w:themeShade="BF"/>
    </w:rPr>
  </w:style>
  <w:style w:type="character" w:styleId="IntenseReference">
    <w:name w:val="Intense Reference"/>
    <w:basedOn w:val="DefaultParagraphFont"/>
    <w:uiPriority w:val="32"/>
    <w:qFormat/>
    <w:rsid w:val="00071BF4"/>
    <w:rPr>
      <w:b/>
      <w:bCs/>
      <w:smallCaps/>
      <w:color w:val="0F4761" w:themeColor="accent1" w:themeShade="BF"/>
      <w:spacing w:val="5"/>
    </w:rPr>
  </w:style>
  <w:style w:type="paragraph" w:styleId="Header">
    <w:name w:val="header"/>
    <w:basedOn w:val="Normal"/>
    <w:link w:val="HeaderChar"/>
    <w:uiPriority w:val="99"/>
    <w:unhideWhenUsed/>
    <w:rsid w:val="00555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D17"/>
  </w:style>
  <w:style w:type="paragraph" w:styleId="Footer">
    <w:name w:val="footer"/>
    <w:basedOn w:val="Normal"/>
    <w:link w:val="FooterChar"/>
    <w:uiPriority w:val="99"/>
    <w:unhideWhenUsed/>
    <w:rsid w:val="00555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D17"/>
  </w:style>
  <w:style w:type="paragraph" w:styleId="Revision">
    <w:name w:val="Revision"/>
    <w:hidden/>
    <w:uiPriority w:val="99"/>
    <w:semiHidden/>
    <w:rsid w:val="00701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6775755B70A40AD04FBCF93BAFDC3" ma:contentTypeVersion="19" ma:contentTypeDescription="Create a new document." ma:contentTypeScope="" ma:versionID="268f3e2c5962f3acfd24e09fba7046ee">
  <xsd:schema xmlns:xsd="http://www.w3.org/2001/XMLSchema" xmlns:xs="http://www.w3.org/2001/XMLSchema" xmlns:p="http://schemas.microsoft.com/office/2006/metadata/properties" xmlns:ns2="429b8a32-81f2-4547-81a5-4c449cb8f34e" xmlns:ns3="fa2d630c-0fd2-4162-ab45-db8c57f77127" targetNamespace="http://schemas.microsoft.com/office/2006/metadata/properties" ma:root="true" ma:fieldsID="46feb60399167198505781da50ec5899" ns2:_="" ns3:_="">
    <xsd:import namespace="429b8a32-81f2-4547-81a5-4c449cb8f34e"/>
    <xsd:import namespace="fa2d630c-0fd2-4162-ab45-db8c57f771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b8a32-81f2-4547-81a5-4c449cb8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6eb34-f522-4dd7-978e-004015112c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d630c-0fd2-4162-ab45-db8c57f771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92038e-5080-4919-bbad-afad76df4383}" ma:internalName="TaxCatchAll" ma:showField="CatchAllData" ma:web="fa2d630c-0fd2-4162-ab45-db8c57f77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9b8a32-81f2-4547-81a5-4c449cb8f34e">
      <Terms xmlns="http://schemas.microsoft.com/office/infopath/2007/PartnerControls"/>
    </lcf76f155ced4ddcb4097134ff3c332f>
    <TaxCatchAll xmlns="fa2d630c-0fd2-4162-ab45-db8c57f77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EB08-128C-4C40-84C5-C5511C6F7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b8a32-81f2-4547-81a5-4c449cb8f34e"/>
    <ds:schemaRef ds:uri="fa2d630c-0fd2-4162-ab45-db8c57f7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0A999-9860-4852-840E-EB248EB51182}">
  <ds:schemaRefs>
    <ds:schemaRef ds:uri="http://schemas.microsoft.com/office/2006/metadata/properties"/>
    <ds:schemaRef ds:uri="http://schemas.microsoft.com/office/infopath/2007/PartnerControls"/>
    <ds:schemaRef ds:uri="429b8a32-81f2-4547-81a5-4c449cb8f34e"/>
    <ds:schemaRef ds:uri="fa2d630c-0fd2-4162-ab45-db8c57f77127"/>
  </ds:schemaRefs>
</ds:datastoreItem>
</file>

<file path=customXml/itemProps3.xml><?xml version="1.0" encoding="utf-8"?>
<ds:datastoreItem xmlns:ds="http://schemas.openxmlformats.org/officeDocument/2006/customXml" ds:itemID="{BD35EE74-6A78-48E4-BD98-F716893ED071}">
  <ds:schemaRefs>
    <ds:schemaRef ds:uri="http://schemas.microsoft.com/sharepoint/v3/contenttype/forms"/>
  </ds:schemaRefs>
</ds:datastoreItem>
</file>

<file path=customXml/itemProps4.xml><?xml version="1.0" encoding="utf-8"?>
<ds:datastoreItem xmlns:ds="http://schemas.openxmlformats.org/officeDocument/2006/customXml" ds:itemID="{BB95FB72-13A7-488C-A62F-94A4508D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1029</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Lowery</dc:creator>
  <cp:keywords/>
  <dc:description/>
  <cp:lastModifiedBy>Deborah Coulter</cp:lastModifiedBy>
  <cp:revision>2</cp:revision>
  <dcterms:created xsi:type="dcterms:W3CDTF">2026-06-09T14:39:00Z</dcterms:created>
  <dcterms:modified xsi:type="dcterms:W3CDTF">2026-06-09T14:39:00Z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0x010100A5A6775755B70A40AD04FBCF93BAFDC3</vt:lpwstr>
  </property>
  <property fmtid="{D5CDD505-2E9C-101B-9397-08002B2CF9AE}" pid="3" name="MediaServiceImageTags">
    <vt:lpwstr/>
  </property>
</Properties>
</file>